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7E3C1">
      <w:pPr>
        <w:jc w:val="center"/>
        <w:rPr>
          <w:rFonts w:ascii="华文中宋" w:hAnsi="华文中宋" w:eastAsia="华文中宋"/>
          <w:color w:val="000000" w:themeColor="text1"/>
          <w:sz w:val="36"/>
          <w:szCs w:val="36"/>
          <w14:textFill>
            <w14:solidFill>
              <w14:schemeClr w14:val="tx1"/>
            </w14:solidFill>
          </w14:textFill>
        </w:rPr>
      </w:pPr>
      <w:r>
        <w:rPr>
          <w:rFonts w:hint="eastAsia" w:ascii="华文中宋" w:hAnsi="华文中宋" w:eastAsia="华文中宋"/>
          <w:color w:val="000000" w:themeColor="text1"/>
          <w:sz w:val="36"/>
          <w:szCs w:val="36"/>
          <w14:textFill>
            <w14:solidFill>
              <w14:schemeClr w14:val="tx1"/>
            </w14:solidFill>
          </w14:textFill>
        </w:rPr>
        <w:t>关于推进税务师行业人工智能应用发展的指导意见</w:t>
      </w:r>
    </w:p>
    <w:p w14:paraId="118F1AE4">
      <w:pPr>
        <w:jc w:val="center"/>
        <w:rPr>
          <w:rStyle w:val="5"/>
          <w:rFonts w:ascii="华文中宋" w:hAnsi="华文中宋" w:eastAsia="华文中宋" w:cs="华文中宋"/>
          <w:b w:val="0"/>
          <w:bCs/>
          <w:color w:val="000000" w:themeColor="text1"/>
          <w:sz w:val="11"/>
          <w:szCs w:val="11"/>
          <w:shd w:val="clear" w:color="auto" w:fill="FFFFFF"/>
          <w14:textFill>
            <w14:solidFill>
              <w14:schemeClr w14:val="tx1"/>
            </w14:solidFill>
          </w14:textFill>
        </w:rPr>
      </w:pPr>
    </w:p>
    <w:p w14:paraId="18DB7ADB">
      <w:pPr>
        <w:jc w:val="center"/>
        <w:rPr>
          <w:rStyle w:val="5"/>
          <w:rFonts w:ascii="华文中宋" w:hAnsi="华文中宋" w:eastAsia="华文中宋" w:cs="华文中宋"/>
          <w:b w:val="0"/>
          <w:bCs/>
          <w:color w:val="000000" w:themeColor="text1"/>
          <w:sz w:val="11"/>
          <w:szCs w:val="11"/>
          <w:shd w:val="clear" w:color="auto" w:fill="FFFFFF"/>
          <w14:textFill>
            <w14:solidFill>
              <w14:schemeClr w14:val="tx1"/>
            </w14:solidFill>
          </w14:textFill>
        </w:rPr>
      </w:pPr>
    </w:p>
    <w:p w14:paraId="1A73B68E">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人工智能是引领新一轮科技革命和产业变革的基础性和战略性技术，正成为发展新质生产力的重要引擎。积极主动将人工智能融入税务师行业创新发展，是抢抓新一轮科技革命机遇，响应国家“人工智能+”行动战略部署，提升税务师执业能力、增强行业核心竞争力的关键路径。为构建以人工智能为支撑的行业创新发展格局，全面提升税务师行业的数智化、专业化、现代化水平，按照国务院</w:t>
      </w:r>
      <w:r>
        <w:rPr>
          <w:rFonts w:hint="eastAsia" w:ascii="仿宋" w:hAnsi="仿宋" w:eastAsia="仿宋" w:cs="仿宋"/>
          <w:color w:val="000000" w:themeColor="text1"/>
          <w:sz w:val="32"/>
          <w:szCs w:val="32"/>
          <w14:textFill>
            <w14:solidFill>
              <w14:schemeClr w14:val="tx1"/>
            </w14:solidFill>
          </w14:textFill>
        </w:rPr>
        <w:t>《关于深入实施“人工智能+”行动的意见》精神</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，结合税务师行业实际，制定本指导意见。</w:t>
      </w:r>
    </w:p>
    <w:p w14:paraId="389D1165">
      <w:pPr>
        <w:ind w:firstLine="640" w:firstLineChars="200"/>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r>
        <w:rPr>
          <w:rStyle w:val="5"/>
          <w:rFonts w:hint="eastAsia" w:ascii="黑体" w:hAnsi="黑体" w:eastAsia="黑体" w:cs="黑体"/>
          <w:b w:val="0"/>
          <w:bCs/>
          <w:color w:val="000000" w:themeColor="text1"/>
          <w:sz w:val="32"/>
          <w:szCs w:val="32"/>
          <w:shd w:val="clear" w:color="auto" w:fill="FFFFFF"/>
          <w14:textFill>
            <w14:solidFill>
              <w14:schemeClr w14:val="tx1"/>
            </w14:solidFill>
          </w14:textFill>
        </w:rPr>
        <w:t>一、正确认识把握人工智能迅猛发展的大趋势</w:t>
      </w:r>
    </w:p>
    <w:p w14:paraId="70CF7756">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（一）主动抓住机遇，迎接挑战</w:t>
      </w:r>
    </w:p>
    <w:p w14:paraId="72181B23">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当前，当今世界正经历以人工智能、大数据、物联网、云计算等为核心的第四次工业革命，新兴技术加速迭代、密集涌现，推动新一轮科技革命和产业变革。近年来，人工智能领域迅猛发展，呈现出深度学习、多模态、人机协同、自主操控等新特征，作为新一轮科技革命和产业变革的标志性成果，持续推动着数字技术与实体经济的深度融合，企业经营模式和组织形态的双重革新，为经济社会发展带来前所未有的深刻变革。面对人工智能技术快速发展带来的机遇和挑战，税务师行业要提高认识</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找准定位</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 xml:space="preserve">科学应对。一方面要摒弃事不关己、自我封闭、无所作为、抵触排斥的心态，将自身发展置于科技发展和市场竞争的边缘；另一方面，也要避免盲目跟风、竞相攀比、搞“大投入”“大开发”的错误做法。坚持有所为、有所不为，正确把握科学应用人工智能、促进行业发展的主动权。 </w:t>
      </w:r>
    </w:p>
    <w:p w14:paraId="482B0440">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新时期，国家持续推进“人工智能+”行动，国家税务总局正在深入实施数字化转型条件下的税费征管“强基工程”。构建税务师行业人工智能创新发展格局，不仅是税务师行业适应税务领域税费征管服务变革的必然要求，也是税务师事务所经营模式和组织形态创造革新的重要路径。全行业要把握发展机遇、顺应时代潮流，主动拥抱人工智能，为我所用、求新求变，在挑战中化危为机。要加大学习力度、掌握机理原理，熟悉人工智能的核心方法，避免认识浅层化和应用简单化。要以人工智能为支撑，构建AI+涉税专业服务模式，深化涉税专业服务+AI应用。要从涉税专业服务市场主体实际需求出发，将技术应用与专业服务深度融合，防止和克服传统企业税务管理方式与业态快速发展脱节的弊端，从思维方式、工作方式、管理模式、运行机制上深度变革，运用新模式新方法，推动人工智能在税务师行业的应用落地。</w:t>
      </w:r>
    </w:p>
    <w:p w14:paraId="28A1B2FE">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（二）积极探索推进，稳步应用创新</w:t>
      </w:r>
    </w:p>
    <w:p w14:paraId="725D609F">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人工智能是驱动行业发展和增强服务效能的重要引擎，中税协和各地税协在推进人工智能在税务师行业应用创新的过程中既不能大包大揽，也不能放任不管，既要引导会员以敢为人先的勇气拥抱技术变革，也要以审慎理性的智慧驾驭技术发展，防范人工智能滥用与误用导致的虚假信息生成与输出，维护税务师专业服务的严谨性和公信力，真正做到趋利避害、智能向善。行业协会要加强对税务师事务所应用人工智能的指导和引导，促使会员能够积极、</w:t>
      </w:r>
      <w:r>
        <w:rPr>
          <w:rStyle w:val="5"/>
          <w:rFonts w:hint="eastAsia" w:ascii="仿宋" w:hAnsi="仿宋" w:eastAsia="仿宋" w:cs="仿宋"/>
          <w:b w:val="0"/>
          <w:bCs/>
          <w:color w:val="000000" w:themeColor="text1"/>
          <w:sz w:val="32"/>
          <w:szCs w:val="32"/>
          <w:shd w:val="clear" w:color="auto" w:fill="FFFFFF"/>
          <w:lang w:val="en-US" w:eastAsia="zh-CN"/>
          <w14:textFill>
            <w14:solidFill>
              <w14:schemeClr w14:val="tx1"/>
            </w14:solidFill>
          </w14:textFill>
        </w:rPr>
        <w:t>准</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确、规范、有效的应用人工智能，通过精细化、智能化的应用场景和技术工具，更好满足征纳双方和市场主体涉税业务专业化、个性化需求，更好服务税收征管新模式和税费服务新体系。</w:t>
      </w:r>
    </w:p>
    <w:p w14:paraId="7FD20C9B">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中税协积极探索搭建人工智能赋能税务师行业应用发展的交流合作平台，推动促进技术资源协同共享，提升技术资源利用效能。及时组织专业论证研讨，总结推广成熟技术应用，开展人工智能技术应用培训，推动人工智能人才培养。有条件的地方税协发挥</w:t>
      </w:r>
      <w:r>
        <w:rPr>
          <w:rStyle w:val="5"/>
          <w:rFonts w:hint="eastAsia" w:ascii="仿宋" w:hAnsi="仿宋" w:eastAsia="仿宋" w:cs="仿宋"/>
          <w:b w:val="0"/>
          <w:bCs/>
          <w:color w:val="000000" w:themeColor="text1"/>
          <w:sz w:val="32"/>
          <w:szCs w:val="32"/>
          <w:shd w:val="clear" w:color="auto" w:fill="FFFFFF"/>
          <w:lang w:val="en-US" w:eastAsia="zh-CN"/>
          <w14:textFill>
            <w14:solidFill>
              <w14:schemeClr w14:val="tx1"/>
            </w14:solidFill>
          </w14:textFill>
        </w:rPr>
        <w:t>协同创新</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作用</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lang w:val="en-US" w:eastAsia="zh-CN"/>
          <w14:textFill>
            <w14:solidFill>
              <w14:schemeClr w14:val="tx1"/>
            </w14:solidFill>
          </w14:textFill>
        </w:rPr>
        <w:t>结合</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税务师事务所会员的专业优势和区位优势，</w:t>
      </w:r>
      <w:r>
        <w:rPr>
          <w:rStyle w:val="5"/>
          <w:rFonts w:hint="eastAsia" w:ascii="仿宋" w:hAnsi="仿宋" w:eastAsia="仿宋" w:cs="仿宋"/>
          <w:b w:val="0"/>
          <w:bCs/>
          <w:color w:val="000000" w:themeColor="text1"/>
          <w:sz w:val="32"/>
          <w:szCs w:val="32"/>
          <w:shd w:val="clear" w:color="auto" w:fill="FFFFFF"/>
          <w:lang w:val="en-US" w:eastAsia="zh-CN"/>
          <w14:textFill>
            <w14:solidFill>
              <w14:schemeClr w14:val="tx1"/>
            </w14:solidFill>
          </w14:textFill>
        </w:rPr>
        <w:t>融合</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社会多方资源</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探索形成数据、模型、指标和算法共建共享的智能创新集群。</w:t>
      </w:r>
    </w:p>
    <w:p w14:paraId="263DBDD7">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中税协支持和鼓励行业头部税务师事务所发挥技术创新辐射引导作用，开展人工智能技术应用的创新实践项目，对于在利用人工智能促进纳税遵从</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助力税收共治</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推动高质量发展、提升执业效能等方面取得显著成效的，及时分享和推广优质经验和创新方法，带动行业整体数智化水平提升。通过整合聚集行业第一梯队科技创新资源和智能创新集群，推动资源要素组合，按照市场化的运行方式在会员中共享应用成果。支持和引导会员细分研发领域，利用先进技术经验驱动业务场景智能化，在税务合规、政策落实、战略咨询、风险防控等环节上提升工作效率</w:t>
      </w:r>
      <w:r>
        <w:rPr>
          <w:rStyle w:val="5"/>
          <w:rFonts w:hint="eastAsia" w:ascii="仿宋" w:hAnsi="仿宋" w:eastAsia="仿宋" w:cs="仿宋"/>
          <w:b w:val="0"/>
          <w:bCs/>
          <w:color w:val="000000" w:themeColor="text1"/>
          <w:sz w:val="32"/>
          <w:szCs w:val="32"/>
          <w:shd w:val="clear" w:color="auto" w:fill="FFFFFF"/>
          <w:lang w:eastAsia="zh-CN"/>
          <w14:textFill>
            <w14:solidFill>
              <w14:schemeClr w14:val="tx1"/>
            </w14:solidFill>
          </w14:textFill>
        </w:rPr>
        <w:t>、</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减少执业风险、防止信息孤岛、保障数据安全，构建全链条治理体系和多层次防护体系，形成在创新协作中共享发展机遇成果的良好格局，通过技术革新真正实现行业发展质的飞跃。</w:t>
      </w:r>
    </w:p>
    <w:p w14:paraId="57790FB7">
      <w:pPr>
        <w:ind w:firstLine="640" w:firstLineChars="200"/>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r>
        <w:rPr>
          <w:rStyle w:val="5"/>
          <w:rFonts w:hint="eastAsia" w:ascii="黑体" w:hAnsi="黑体" w:eastAsia="黑体" w:cs="黑体"/>
          <w:b w:val="0"/>
          <w:bCs/>
          <w:color w:val="000000" w:themeColor="text1"/>
          <w:sz w:val="32"/>
          <w:szCs w:val="32"/>
          <w:shd w:val="clear" w:color="auto" w:fill="FFFFFF"/>
          <w14:textFill>
            <w14:solidFill>
              <w14:schemeClr w14:val="tx1"/>
            </w14:solidFill>
          </w14:textFill>
        </w:rPr>
        <w:t>二、指导思想和基本原则</w:t>
      </w:r>
    </w:p>
    <w:p w14:paraId="3A70AEC5">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（一）指导思想</w:t>
      </w:r>
    </w:p>
    <w:p w14:paraId="1C2A61BB">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以习近平新时代中国特色社会主义思想为指导，深入学习贯彻习近平总书记关于科技创新和人工智能的重要论述，贯彻落实党中央、国务院关于推动人工智能发展的战略部署，主动适应和配合税务总局数字化转型条件下的税费征管“强基工程”建设，按照中税协七届二次理事会确定的“一四四”工作思路，准确把握新一代人工智能发展趋势，积极稳妥、循序渐进，科学规划、统筹实施，大力推进人工智能技术应用与税务师行业涉税专业服务深度融合发展，全面提升税务师行业人工智能应用能力和水平，推动税务师行业服务项目、服务方式、服务模式创新升级，构建以人工智能为支撑的税务师行业高质量发展新格局。</w:t>
      </w:r>
    </w:p>
    <w:p w14:paraId="6571FADF">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（二）基本原则</w:t>
      </w:r>
    </w:p>
    <w:p w14:paraId="6B74F2D5">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——坚持科学应用、</w:t>
      </w:r>
      <w:r>
        <w:rPr>
          <w:rStyle w:val="5"/>
          <w:rFonts w:ascii="仿宋" w:hAnsi="仿宋" w:eastAsia="仿宋" w:cs="仿宋"/>
          <w:b w:val="0"/>
          <w:bCs/>
          <w:color w:val="000000" w:themeColor="text1"/>
          <w:sz w:val="32"/>
          <w:szCs w:val="32"/>
          <w:shd w:val="clear" w:color="auto" w:fill="FFFFFF"/>
          <w14:textFill>
            <w14:solidFill>
              <w14:schemeClr w14:val="tx1"/>
            </w14:solidFill>
          </w14:textFill>
        </w:rPr>
        <w:t>专业为本</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。牢固树立维护国家税收利益和纳税人缴费人合法权益的发展理念，科学应用</w:t>
      </w:r>
      <w:r>
        <w:rPr>
          <w:rStyle w:val="5"/>
          <w:rFonts w:ascii="仿宋" w:hAnsi="仿宋" w:eastAsia="仿宋" w:cs="仿宋"/>
          <w:b w:val="0"/>
          <w:bCs/>
          <w:color w:val="000000" w:themeColor="text1"/>
          <w:sz w:val="32"/>
          <w:szCs w:val="32"/>
          <w:shd w:val="clear" w:color="auto" w:fill="FFFFFF"/>
          <w14:textFill>
            <w14:solidFill>
              <w14:schemeClr w14:val="tx1"/>
            </w14:solidFill>
          </w14:textFill>
        </w:rPr>
        <w:t>、专业为本</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，依托以人工智能为代表的新质生产力，不断增强</w:t>
      </w:r>
      <w:r>
        <w:rPr>
          <w:rStyle w:val="5"/>
          <w:rFonts w:ascii="仿宋" w:hAnsi="仿宋" w:eastAsia="仿宋" w:cs="仿宋"/>
          <w:b w:val="0"/>
          <w:bCs/>
          <w:color w:val="000000" w:themeColor="text1"/>
          <w:sz w:val="32"/>
          <w:szCs w:val="32"/>
          <w:shd w:val="clear" w:color="auto" w:fill="FFFFFF"/>
          <w14:textFill>
            <w14:solidFill>
              <w14:schemeClr w14:val="tx1"/>
            </w14:solidFill>
          </w14:textFill>
        </w:rPr>
        <w:t>税务师专业能力和</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核心竞争力，推进行业发高质量发展。</w:t>
      </w:r>
    </w:p>
    <w:p w14:paraId="117BC8D7">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坚持融合创新、引领发展。坚持统筹规划、创新驱动、应用牵引、开放融合，建立完善协会引导、税务师事务所参与、市场化运作的创新合作机制，强化税务师事务所创新主体地位，注重人工智能技术与行业资源、业务深度融合，实现集约共享、协同推进、重点突破。</w:t>
      </w:r>
    </w:p>
    <w:p w14:paraId="55488F18">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——坚持多元参与、协同</w:t>
      </w:r>
      <w:r>
        <w:rPr>
          <w:rStyle w:val="5"/>
          <w:rFonts w:ascii="仿宋" w:hAnsi="仿宋" w:eastAsia="仿宋" w:cs="仿宋"/>
          <w:b w:val="0"/>
          <w:bCs/>
          <w:color w:val="000000" w:themeColor="text1"/>
          <w:sz w:val="32"/>
          <w:szCs w:val="32"/>
          <w:shd w:val="clear" w:color="auto" w:fill="FFFFFF"/>
          <w14:textFill>
            <w14:solidFill>
              <w14:schemeClr w14:val="tx1"/>
            </w14:solidFill>
          </w14:textFill>
        </w:rPr>
        <w:t>合作</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。依托社会力量，参与“人工智能+”赋能税务师行业创新发展，促进交流协作和供需对接，积极培育人工智能创新产品和服务，为提升事务所服务质效提供技术支撑和智力支持。</w:t>
      </w:r>
    </w:p>
    <w:p w14:paraId="1B19FF31">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坚持普惠共享、安全可控。强化人工智能赋能税务师行业均衡协调发展，扩大人工智能应用覆盖面，提升税务师事务所智能素养水平和风险防范意识，加强伦理规范、技术标准、数据隐私和网络信息安全管理。</w:t>
      </w:r>
    </w:p>
    <w:p w14:paraId="78623F12">
      <w:pPr>
        <w:ind w:firstLine="640" w:firstLineChars="200"/>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r>
        <w:rPr>
          <w:rStyle w:val="5"/>
          <w:rFonts w:hint="eastAsia" w:ascii="黑体" w:hAnsi="黑体" w:eastAsia="黑体" w:cs="黑体"/>
          <w:b w:val="0"/>
          <w:bCs/>
          <w:color w:val="000000" w:themeColor="text1"/>
          <w:sz w:val="32"/>
          <w:szCs w:val="32"/>
          <w:shd w:val="clear" w:color="auto" w:fill="FFFFFF"/>
          <w14:textFill>
            <w14:solidFill>
              <w14:schemeClr w14:val="tx1"/>
            </w14:solidFill>
          </w14:textFill>
        </w:rPr>
        <w:t>三、发展目标和主要任务</w:t>
      </w:r>
    </w:p>
    <w:p w14:paraId="20D64C27">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（一）发展目标</w:t>
      </w:r>
    </w:p>
    <w:p w14:paraId="2AB17893">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在当前和今后一个时期，坚持以促进税务师行业高质量发展为主题，推动全行业人工智能应用和创新发展能力不断增强，技术创新和场景创新持续涌现，以新一代人工智能技术驱动的税务师行业整体竞争力和全流程质量管理水平明显提升。</w:t>
      </w:r>
    </w:p>
    <w:p w14:paraId="783B770F">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鼓励头部税务师事务所利用数据科学、机器学习、深度学习、知识图谱等技术，与计算机视觉、自然语言处理相结合，研发推广一批见效快、针对性强、标准化程度高的税务师服务领域应用场景和解决方案。</w:t>
      </w:r>
    </w:p>
    <w:p w14:paraId="1597B88A">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在行业探索开发先进可用的面向涉税专业服务语境的语言模型及其应用，因地制宜地推进行业人工智能区域创新，总结推出一批行业人工智能应用创新典型做法和服务行业应用创新的标准规范，推动人工智能在行业赋能、终端应用、场景培育、价值延伸方面取得新进展新突破。</w:t>
      </w:r>
    </w:p>
    <w:p w14:paraId="46E52ABD">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（二）主要任务</w:t>
      </w:r>
    </w:p>
    <w:p w14:paraId="53FBF575">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1.有效运用人工智能的机理方法和解决方案。</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人工智能具有鲜明的通用性、系统性特征，以数智融合重构生产要素配置、企业经营模式、结构优化的底层逻辑。税务师事务所应从整体上看待人工智能应用，熟悉掌握基础层、框架层、模型层、应用层等机理方法，结合实际科学制定数字化经营策略，合理利用AI技术推进智能化转型，部署与自身发展实际和业务目标相匹配的技术路径。利用适用于涉税专业服务的语言模型、智能体等AI工具的使用和开发，重点在执业原理、模式、方法、策略等方面发力，以人工智能工具解决具体问题、实现降本增效、提升盈利能力，提供经济高效的解决方案。</w:t>
      </w:r>
    </w:p>
    <w:p w14:paraId="3D618A0D">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2.挖掘人工智能执业应用场景和产品体系。</w:t>
      </w:r>
      <w:r>
        <w:rPr>
          <w:rFonts w:hint="eastAsia" w:ascii="仿宋" w:hAnsi="仿宋" w:eastAsia="仿宋" w:cs="仿宋"/>
          <w:color w:val="000000" w:themeColor="text1"/>
          <w:sz w:val="32"/>
          <w:szCs w:val="32"/>
          <w14:textFill>
            <w14:solidFill>
              <w14:schemeClr w14:val="tx1"/>
            </w14:solidFill>
          </w14:textFill>
        </w:rPr>
        <w:t>以涉税专业服务需求为牵引谋划人工智能技术应用场景，融合人工智能模型算法和数据知识，</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推动税务师事务所自主或合作研发细分领域的人工智能税务服务辅助产品和终端产品。聚焦涉税数据聚合能力、运营决策能力、税务合规能力、提质增效能力、风险管控能力，逐步形成通过先进技术手段实施纳税计算申报、税务数据分析、税务合规管理、税务风险管控、税务智能鉴证等执业场景。围绕企业所得税、土地增值税、高新技术企业认定、并购重组、上市合规、跨境交易等重点税种和专项领域，结合税费综合关联式申报、套餐式服务等便利化场景，加强新产品、新业务、新模式智能应用研发。</w:t>
      </w:r>
    </w:p>
    <w:p w14:paraId="24BD7D8F">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3.强化行业数据支撑系统和效率工具。</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充分发挥人工智能技术在数据获取、评估预测、结果分析、决策支撑等方面作用，提升税务师事务所数据质量和应用价值。有效集成管理型和业务型全域数据，整合数据采集、处理、分析、决策、反馈管理，完善跨部门、跨层级、跨业务数据协同治理，积极协调与监管机构和数据管理部门共享信息，探索开发适当的合成数据集。鼓励税务师事务所研发业财税一体化融合、涉税数据管理分析、风险预警和信用管理、企业战略分析和决策支持等税务管控数智化支撑系统。利用多模态交互技术与知识图谱融合，研发合同条款解析、发票识别、专业文档翻译，智能图表生成、智能问答和政策推送培训应用产品，形成人机协作的高效作业模式。深化扩展自动化数据提取、转换工具、报告撰写、标准化电子工作底稿等人工智能流程管理工具。</w:t>
      </w:r>
    </w:p>
    <w:p w14:paraId="1BD52D87">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4.建立创新融合工作机制和供需合作平台。</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中税协建立税务师行业人工智能应用发展工作机制，发挥协会带动牵引作用，搭建新产品新技术供需平台，开展项目合作对接服务，满足会员专业化、个性化需求。推动实力较强的头部税务师事务所发挥科技头雁作用，牵头共性技术研发、工程化攻关及成果转化。中税协集聚先进大模型企业、科技企业、数字化服务商等人工智能资源优势，与税务师事务所协力合作，适时总结行业先进示范技术应用成果，在保护知识产权的基础上，形成适用于税务师行业的典型产品和服务，按照自主自愿、公益性和市场化相结合原则为有需要的税务师事务所会员推荐使用，降低应用门槛和成本，促进中小税务师事务所提升人工智能水平，惠及行业共同发展。地方税协针对税务师事务所业务难点和技术卡点，参与协调引导和分类指导，促进共享共建，避免恶性竞争和盲目投资。</w:t>
      </w:r>
    </w:p>
    <w:p w14:paraId="3AE8D219">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5.调动多方力量提升技术攻关和实践水平。</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鼓励有条件的税务师事务所依托科技企业、数字化服务商、软件服务商等优势主体，基于自身的数据环境和执业特性，打造贴合业务需求的算法或模型。与信息软件企业、大模型企业结成伙伴，突破行业应用场景共性难点，整合梳理行业高价值应用场景和贴合业务需求的创新应用场景。中税协和地方税协定期遴选发布“人工智能+税务师”典型应用场景和产品清单，举办人工智能创新发展分享会，开展数智化诊断咨询，分行业分领域召开供需对接活动，提供场景路演和技术支持，加速行业人工智能新技术、新产品、新成果落地应用。</w:t>
      </w:r>
    </w:p>
    <w:p w14:paraId="2D189287">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6.加强人工智能应用能力培训和人才队伍建设。</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有条件的地方税协和税务师事务所联合科技企业、信息软件企业、科研机构，加快建立多层次行业数智化专业培训体系，与高校、职业学校、骨干税务师事务所建立联合培养模式，共同开发AI+行业融合创新、智能体构建、大模型部署优化等模块化培训课程。组织开展创新应用能力培训和案例教学，通过不断优化课程设置，完善课程体系，培养从业人员对AI 技术素养和分析思维，掌握AI基础应用工具和必备技能，定向培养大数据、人工智能等方面的技能型人才，以及具备跨领域行业落地经验的业内专家和复合型技术管理人才，以人工智能赛事驱动人才发展，锻造行业数智化创新和实践应用能力。</w:t>
      </w:r>
    </w:p>
    <w:p w14:paraId="17F3571E">
      <w:pPr>
        <w:ind w:firstLine="640" w:firstLineChars="200"/>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r>
        <w:rPr>
          <w:rStyle w:val="5"/>
          <w:rFonts w:hint="eastAsia" w:ascii="黑体" w:hAnsi="黑体" w:eastAsia="黑体" w:cs="黑体"/>
          <w:b w:val="0"/>
          <w:bCs/>
          <w:color w:val="000000" w:themeColor="text1"/>
          <w:sz w:val="32"/>
          <w:szCs w:val="32"/>
          <w:shd w:val="clear" w:color="auto" w:fill="FFFFFF"/>
          <w14:textFill>
            <w14:solidFill>
              <w14:schemeClr w14:val="tx1"/>
            </w14:solidFill>
          </w14:textFill>
        </w:rPr>
        <w:t>四、组织保障</w:t>
      </w:r>
    </w:p>
    <w:p w14:paraId="2087D36A">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（一）建立工作机制。</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中税协建立健全专项工作机制，统一部署创新发展重点事项和试点任务，进一步完善中税协数智化委员会科学论证和组织协调机制，有效发挥智库作用。地方税协加强组织实施和协调推进，有条件的地方税协结合行业特点探索实施创新措施，引导税务师事务所转型升级。</w:t>
      </w:r>
    </w:p>
    <w:p w14:paraId="3439898F">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（二）促进交流合作。</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行业协会引导会员与政府、企业、科研机构等各类组织建立多层次沟通合作，推动区域间和国际间创新合作，围绕前沿课题、数据建设、应用开发、标准规范、风险管理定期研讨，积极学习借鉴相关行业经验做法，通过创新应用场景“揭榜挂帅”等活动宣传推介合作对接。</w:t>
      </w:r>
    </w:p>
    <w:p w14:paraId="6F2E7452">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（三）注重安全发展。</w:t>
      </w: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人工智能应用要强化数据信息保护，健全完善风险监测防控体系，常态化开展人工智能安全性检测评估，完善网络安全、数据安全、意识形态、科技伦理、信息保护、风险处置、违规处理等规则流程，确保行业人智能创新应用安全合规。</w:t>
      </w:r>
    </w:p>
    <w:p w14:paraId="48E5DD55">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p>
    <w:p w14:paraId="60065178">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附件：税务师行业人工智能转型典型应用场景</w:t>
      </w:r>
    </w:p>
    <w:p w14:paraId="0DD660DE">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p>
    <w:p w14:paraId="7388904E">
      <w:pPr>
        <w:ind w:firstLine="640" w:firstLineChars="200"/>
        <w:jc w:val="left"/>
        <w:rPr>
          <w:rStyle w:val="5"/>
          <w:rFonts w:ascii="仿宋" w:hAnsi="仿宋" w:eastAsia="仿宋" w:cs="仿宋"/>
          <w:b w:val="0"/>
          <w:bCs/>
          <w:color w:val="000000" w:themeColor="text1"/>
          <w:sz w:val="32"/>
          <w:szCs w:val="32"/>
          <w:shd w:val="clear" w:color="auto" w:fill="FFFFFF"/>
          <w14:textFill>
            <w14:solidFill>
              <w14:schemeClr w14:val="tx1"/>
            </w14:solidFill>
          </w14:textFill>
        </w:rPr>
      </w:pPr>
    </w:p>
    <w:p w14:paraId="71ED0370">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748EA7CF">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38653633">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760E0B28">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721FF358">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37BDB404">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689118DC">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p>
    <w:p w14:paraId="2C5523D0">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bookmarkStart w:id="0" w:name="_GoBack"/>
      <w:bookmarkEnd w:id="0"/>
    </w:p>
    <w:p w14:paraId="51E43B4A">
      <w:pPr>
        <w:jc w:val="left"/>
        <w:rPr>
          <w:rStyle w:val="5"/>
          <w:rFonts w:ascii="黑体" w:hAnsi="黑体" w:eastAsia="黑体" w:cs="黑体"/>
          <w:b w:val="0"/>
          <w:bCs/>
          <w:color w:val="000000" w:themeColor="text1"/>
          <w:sz w:val="32"/>
          <w:szCs w:val="32"/>
          <w:shd w:val="clear" w:color="auto" w:fill="FFFFFF"/>
          <w14:textFill>
            <w14:solidFill>
              <w14:schemeClr w14:val="tx1"/>
            </w14:solidFill>
          </w14:textFill>
        </w:rPr>
      </w:pPr>
      <w:r>
        <w:rPr>
          <w:rStyle w:val="5"/>
          <w:rFonts w:hint="eastAsia" w:ascii="黑体" w:hAnsi="黑体" w:eastAsia="黑体" w:cs="黑体"/>
          <w:b w:val="0"/>
          <w:bCs/>
          <w:color w:val="000000" w:themeColor="text1"/>
          <w:sz w:val="32"/>
          <w:szCs w:val="32"/>
          <w:shd w:val="clear" w:color="auto" w:fill="FFFFFF"/>
          <w14:textFill>
            <w14:solidFill>
              <w14:schemeClr w14:val="tx1"/>
            </w14:solidFill>
          </w14:textFill>
        </w:rPr>
        <w:t>附件</w:t>
      </w:r>
    </w:p>
    <w:p w14:paraId="3F3A817C">
      <w:pPr>
        <w:jc w:val="center"/>
        <w:rPr>
          <w:rStyle w:val="5"/>
          <w:rFonts w:ascii="黑体" w:hAnsi="黑体" w:eastAsia="黑体" w:cs="黑体"/>
          <w:b w:val="0"/>
          <w:bCs/>
          <w:color w:val="000000" w:themeColor="text1"/>
          <w:sz w:val="36"/>
          <w:szCs w:val="36"/>
          <w:shd w:val="clear" w:color="auto" w:fill="FFFFFF"/>
          <w14:textFill>
            <w14:solidFill>
              <w14:schemeClr w14:val="tx1"/>
            </w14:solidFill>
          </w14:textFill>
        </w:rPr>
      </w:pPr>
      <w:r>
        <w:rPr>
          <w:rStyle w:val="5"/>
          <w:rFonts w:hint="eastAsia" w:ascii="黑体" w:hAnsi="黑体" w:eastAsia="黑体" w:cs="黑体"/>
          <w:b w:val="0"/>
          <w:bCs/>
          <w:color w:val="000000" w:themeColor="text1"/>
          <w:sz w:val="36"/>
          <w:szCs w:val="36"/>
          <w:shd w:val="clear" w:color="auto" w:fill="FFFFFF"/>
          <w14:textFill>
            <w14:solidFill>
              <w14:schemeClr w14:val="tx1"/>
            </w14:solidFill>
          </w14:textFill>
        </w:rPr>
        <w:t>税务师行业人工智能转型典型应用场景</w:t>
      </w:r>
    </w:p>
    <w:p w14:paraId="1049A0ED">
      <w:pPr>
        <w:ind w:firstLine="641"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p>
    <w:p w14:paraId="59359CFF">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根据税务师行业人工智能发展情况和执业实践，结合技术创新和融合应用发展趋势，坚持问题导向，按照急用先行的原则，凝练总结了16个典型场景，为税务师事务所人工智能</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应用</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提供参考。</w:t>
      </w:r>
    </w:p>
    <w:p w14:paraId="7D2BAAED">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仿宋" w:hAnsi="仿宋" w:eastAsia="仿宋" w:cs="仿宋"/>
          <w:b w:val="0"/>
          <w:bCs/>
          <w:color w:val="000000" w:themeColor="text1"/>
          <w:sz w:val="32"/>
          <w:szCs w:val="32"/>
          <w:shd w:val="clear" w:color="auto" w:fill="FFFFFF"/>
          <w14:textFill>
            <w14:solidFill>
              <w14:schemeClr w14:val="tx1"/>
            </w14:solidFill>
          </w14:textFill>
        </w:rPr>
        <w:t>1.</w:t>
      </w: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纳税申报</w:t>
      </w:r>
    </w:p>
    <w:p w14:paraId="15756070">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纳税申报涉及收入、成本、费用等数据提取整理，数据源分散在不同系统，不同税种的申报表格式、报税期限要求也有所不同，需要确保数据准确无误，计算逻辑准确，表间勾稽关系正确，手工操作耗费时长，容易出现填报错误或错过申报时限等风险。</w:t>
      </w:r>
    </w:p>
    <w:p w14:paraId="11E1A1D6">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智能化纳税申报</w:t>
      </w:r>
    </w:p>
    <w:p w14:paraId="7612336B">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全税种计税自动化处理和报告生成可以通过自然语言处理技术、计税规则引擎和自定义报表技术等方式实现。从原始的涉税数据到纳税申</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报</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AI技术自动从企业财务、合同、资产、采购供应链、销售、人力资源、发票管理系统等多个数据源中提取所需税务数据。根据不同税种申报要求，进行数据校验、税表计算、税金计提、审核审批、数据填报、税金缴款、凭证获取等多个环节和流程，辅助对申报表进行解释和溯源，实现申报结果的获取、完税报表和完税证明文件的下载、内容提取和结构化解析保存，形成完整闭环的数据链条，提升申报效率。</w:t>
      </w:r>
    </w:p>
    <w:p w14:paraId="1BC468F2">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2.典型场景：</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企业所得税汇算清缴</w:t>
      </w:r>
    </w:p>
    <w:p w14:paraId="2F5B2F9C">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作业模式下，需人工整理、核对大量财税资料，不同底稿之间的数据处理相当繁琐，容易出现数据引用错误、遗漏涉税风险点等问题。不同执业人员通过文档传输等方式协同作业，底稿版本众多，操作上可能出现底稿、申报表交叉混淆等情况。企业所得税相关政策法规不断更新，涉税人员若未能及时掌握，易造成申报错误风险。</w:t>
      </w:r>
    </w:p>
    <w:p w14:paraId="1D18FE17">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智能辅助汇算系统</w:t>
      </w:r>
    </w:p>
    <w:p w14:paraId="0E6AC71F">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智能辅助汇算系统可以通过自定义表单和单元格、设置计税规则、应用大数据模型等方式实现。原始财务数据通过规则抓取到系统中，通过表间计税逻辑以及数据引用关系，实现纳税申报底稿到申报表</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再</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到报告自动填写和生成，嵌入涉税风险指标库、税法知识库、实务案例库等数据库，快速识别企业所得税涉税风险，并提供一定的解决方案思路，提升涉</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税</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服务工作效率和服务质量，降低执业风险。</w:t>
      </w:r>
    </w:p>
    <w:p w14:paraId="1D0CB28E">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3.典型场景：</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股权转让</w:t>
      </w:r>
    </w:p>
    <w:p w14:paraId="3D816319">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企业股权转让涉及税种较多，计算较为繁复，如涉及到跨境交易，则更为复杂，对业务人员的专业能力要求较高。在传统模式下，需要人工梳理股权架构、股权原值、转让价格、相关财务处理信息、评估报告信息等，结合境内外不同政策法规，进行人工沟通计算调整，影响效率的同时也存在一定的判定风险。</w:t>
      </w:r>
    </w:p>
    <w:p w14:paraId="66BEB33D">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股权转让智能辅助系统</w:t>
      </w:r>
    </w:p>
    <w:p w14:paraId="0555B83F">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通过设置业务规范流程、资料清单、文档识别数据采集、智能政策匹配、计算逻辑设定、风险阈值内置等方式提升税额计算精准化、风险预警实时化。将股权转让业务全流程进行系统化管理，每一流程节点辅以相关资料清单提交要求，部分资料自动抓取数据（如股权原值、转让价格、评估价格等）到税费计算表单，表单中设置相关计算逻辑可一定程度上实现半自动计算，结合自主编辑功能，同时嵌入风险预警指标、历史股权转让信息、行业平均数值或比例、政策法规提示，实现准确计算税</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款</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、及时发现风险。</w:t>
      </w:r>
    </w:p>
    <w:p w14:paraId="3E2A6E15">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4.典型场景：</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并购重组</w:t>
      </w:r>
    </w:p>
    <w:p w14:paraId="1A427AB9">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并购重组涉税业务是涉税业务中较为复杂的一类，对业务人员的专业能力要求较高，如涉及到合并、分立、股权收购、资产收购、债务重组、跨境重组等，对于政策法规的掌握、专业经验的要求甚至是跨领域复合知识的应用以及外语都提出了更高挑战。并购重组类型多样，判断是否符合特殊性重组较为复杂，且各税种政策口径可能存在偏差，传统模式下，从业人员需要进行原始资料收集整理、逻辑判断、政策匹配等工作，但因政策法规专业度高、计算繁琐等问题容易导致工作效率低下。</w:t>
      </w:r>
    </w:p>
    <w:p w14:paraId="28C6B4BB">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并购重组智能辅助系统</w:t>
      </w:r>
    </w:p>
    <w:p w14:paraId="5104CE34">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通过</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设置业务规范流程、资料清单、文档识别</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数据采集、智能政策匹配、计算逻辑设定、风险阈值设置等方式提升税额计算精准化、风险预警实时化。将并购重组业务进行一定分类，不同类别下设置相关流程节点，每一流程节点辅以相关资料清单提交要求，某些资料自动抓取数据到税费计算表单（如涉及计算），计算表中设置相关计算逻辑可一定程度上实现半自动计算，设置特殊性税务处理的条件判定，同时嵌入风险预警指标、行业平均数值或比例、政策法规提示等信息，规范作业流程和服务质量。</w:t>
      </w:r>
    </w:p>
    <w:p w14:paraId="46C48B48">
      <w:pPr>
        <w:ind w:firstLine="640" w:firstLineChars="200"/>
        <w:jc w:val="left"/>
        <w:rPr>
          <w:color w:val="000000" w:themeColor="text1"/>
          <w:sz w:val="32"/>
          <w:szCs w:val="32"/>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5.典型场景；</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土地增值税清算</w:t>
      </w:r>
    </w:p>
    <w:p w14:paraId="0CAE99AB">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作业模式下，土增清算项目跨期长、商业模式多样、数据采集难度高、信息处理量大、各地掌握尺度存在差异，又需要业务人员在限定的较短时间内出具相关清算结果，对事务所业务人员的专业性、工作效率、协调能力等各方面提出很大挑战。土增清算业务成本分摊和扣除确认难度较大、政策执行口径存在一定差异，企业税务合规成本高，</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易出现清算争议和涉税风险</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p>
    <w:p w14:paraId="6A5A6998">
      <w:pPr>
        <w:ind w:firstLine="640" w:firstLineChars="200"/>
        <w:jc w:val="left"/>
        <w:rPr>
          <w:color w:val="000000" w:themeColor="text1"/>
          <w:sz w:val="32"/>
          <w:szCs w:val="32"/>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土地增值税清算管理系统</w:t>
      </w:r>
    </w:p>
    <w:p w14:paraId="256094DA">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通过数据治理、数据库、知识库搭建、表单配置、AI模型部署、流程优化等必要的技术手段，实现数据采集自动化、税费计算半自动化、风险预警实时化、流程审核权责化等目标。系统可以与预售收入系统挂钩，确认收入确认的原则和方法，采集土地交易、施工合同、销售凭证等多源数据，结合文字、图片处理技术，建立标准化数据库，减少人工录入错误率</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设置风险数据指标，匹配适用法规及实际案例，识别售价偏低、成本虚高等风险</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设置相关算法自动分摊开发成本，减少人为干预</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对大量需要审核基础支出数据采用规范性全口径审核，通过数据关联逻辑自动生成申报表</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基于知识图谱和法规知识库等信息，半自动生成覆盖审核要点、税费测算、风险提示等必要内容的清算报告。</w:t>
      </w:r>
    </w:p>
    <w:p w14:paraId="13B2028D">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6.典型场景：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发票管理</w:t>
      </w:r>
    </w:p>
    <w:p w14:paraId="6BC90DAC">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发票的开具、验证和归档工作繁琐，人工开具发票时，容易出现发票信息填写错误，发票验证需要逐一查询税务系统，工作量大且效率低，存在发票冲销风险，纸质发票的归档管理容易出现丢失、查找困难。</w:t>
      </w:r>
    </w:p>
    <w:p w14:paraId="0ADC63F9">
      <w:pPr>
        <w:ind w:firstLine="640" w:firstLineChars="200"/>
        <w:jc w:val="left"/>
        <w:rPr>
          <w:rStyle w:val="5"/>
          <w:rFonts w:ascii="楷体" w:hAnsi="楷体" w:eastAsia="楷体" w:cs="楷体"/>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全链路发票管理</w:t>
      </w:r>
    </w:p>
    <w:p w14:paraId="037C3D37">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积极应用AI智能体结合OCR（光学字符识别）技术和自动化流程，精准识别票据相关信息，自动去除周边信息，海外发票识别与校验执行直译、计算、逻辑分析等多种处理，快速、准确地完成发票开具，系统追踪发票、合同、资金流数据链条，并附加风险扫描功能，提高发票审核自动化程度。利用AI多模态大模型将电子发票按照一定的规则分类存储，实现复杂校验规则，批量获取发票信息并在发票服务平台上进行验证，快速反馈验证结果，输出票据内容详细信息和关键要素，方便在电子档案库中查询管理。</w:t>
      </w:r>
    </w:p>
    <w:p w14:paraId="08B10C24">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7.典型场景：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税务数据分析</w:t>
      </w:r>
    </w:p>
    <w:p w14:paraId="5C8E9E18">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税务管理模式下，企业分散于财务部门、采购部门、销售部门等内部系统及线下各处涉税数据，税务数据分析效率低，企业内部存在“涉税数据孤岛”，海量税务数据不能充分整合和深度挖掘，导致涉税异常难溯源、业务漏洞难发现，优惠政策利用率低、风险处置滞后等问题。</w:t>
      </w:r>
    </w:p>
    <w:p w14:paraId="2BFEB2DD">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集成式税务数据分析</w:t>
      </w:r>
    </w:p>
    <w:p w14:paraId="6B352E6A">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 xml:space="preserve">通过人工智能技术、机器学习技术和数据分析算法实现涉税数据分析挖掘，跨部门收集税务数据，将来自不同数据源的数据进行清洗、转换和整合，形成统一的税务数据集。及时识别异常税务指标、预测税务成本，提高涉税数据的质量和可信度，为企业的税务决策提供支持。通过深度学习模型，生成可视化图谱，多维度经营分析报表，分税种对涉税数据预测分析，提升税收检查数据与资料准备效率，将税务风险管控从后端合规推向前端决策，帮助企业优化策略和资源配置，提高经营效率和稳健性。 </w:t>
      </w:r>
    </w:p>
    <w:p w14:paraId="36880AD9">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8.典型场景：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业财税管理</w:t>
      </w:r>
    </w:p>
    <w:p w14:paraId="757D6848">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业务系统与财务系统、税务系统处于相互割裂状态，业务范围不断增加导致数据集合度不足，业务数据与财务数据不一致，缺乏完善供应链协同管理体系，导致财务供应链管理难度大，分析结果失真，管理层决策失去时效性。</w:t>
      </w:r>
    </w:p>
    <w:p w14:paraId="2B06D384">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业财税一体化</w:t>
      </w:r>
    </w:p>
    <w:p w14:paraId="00E31447">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AI智能体可以集成大型语言模型（LLM）和检索增强生成（RAG）技术，自动化完成财务数据收集、分析和报告生成。借助数智税务应用和业财数据，建立企业对税务分析、决策需要的数据源和分析模型。智能财务流程自动化基于涉税事项管理，赋能对接业财流程、数据与系统，实现业务协同支撑，定期评估税务管控情况与税务运营效率，实现实时管理监督。实现全税种涉税数据的源头管理，打通业财税系统和跨部门协同，支持业务、财务、税务、管理多方开展税务数据分析，挖掘税务数据价值，助力税务数据赋能支持业务和投资决策支撑。</w:t>
      </w:r>
    </w:p>
    <w:p w14:paraId="19315FCF">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9.典型场景：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税务合规和风险管理</w:t>
      </w:r>
    </w:p>
    <w:p w14:paraId="02F05650">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企业涉税事务处理、政策执行标准、涉税数据共享、涉税风险防控依赖传统合规管理方法容易出现疏漏，无法全面覆盖涉税事务，特别是涉及长周期和多主题的数据，大量票据资料需要实施政策法规符合度检查，人工执行标准存在差异，涉税风险评估和合规管理难度增加。</w:t>
      </w:r>
    </w:p>
    <w:p w14:paraId="46028136">
      <w:pPr>
        <w:ind w:firstLine="640" w:firstLineChars="200"/>
        <w:jc w:val="left"/>
        <w:rPr>
          <w:rStyle w:val="5"/>
          <w:rFonts w:ascii="楷体" w:hAnsi="楷体" w:eastAsia="楷体" w:cs="楷体"/>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智能化税务合规和风险管理</w:t>
      </w:r>
    </w:p>
    <w:p w14:paraId="049775EE">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利用AI智能体实时监控政策法规变化，及时获取最新税收政策法规信息，对企业各类税务申报进行全面扫描，动态调整合规逻辑，确保企业税务申报和财务操作符合最新政策法规要求。将计税算税逻辑、税源调整、税源追溯等税务特性深度融合，满足企业税务管理的特殊需求。通过AI技术分税种设定风险场景和监控指标规则，数据处理系统自动化检查出一般性风险和高风险事项，精准识别虚假交易等风险场景，从风险识别、分析、处置到复盘进行全周期、穿透式管理，及时采取风险处置和应对措施，并建立信息共享与线上留存，生成风险分析和应对报告。</w:t>
      </w:r>
    </w:p>
    <w:p w14:paraId="44BE43B6">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10.典型场景：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税务优惠申请</w:t>
      </w:r>
    </w:p>
    <w:p w14:paraId="5EE78383">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税收优惠包括低税率、起征点以下免征、加计扣除、加速折旧、税额抵免等多种方式，税务优惠申请流程需要准备大量的证明材料、备案备查资料。企业可能由于对政策内容、申请条件、申报流程等了解不足，人工操作效率较低，导致无法充分享受政策优惠或错过申请机会。</w:t>
      </w:r>
    </w:p>
    <w:p w14:paraId="0AFE799F">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仿宋" w:hAnsi="仿宋" w:eastAsia="仿宋" w:cs="仿宋"/>
          <w:color w:val="000000" w:themeColor="text1"/>
          <w:sz w:val="32"/>
          <w:szCs w:val="32"/>
          <w:shd w:val="clear" w:color="auto" w:fill="FFFFFF"/>
          <w14:textFill>
            <w14:solidFill>
              <w14:schemeClr w14:val="tx1"/>
            </w14:solidFill>
          </w14:textFill>
        </w:rPr>
        <w:t>多场景税收优惠判断</w:t>
      </w:r>
    </w:p>
    <w:p w14:paraId="5E5BD743">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通过AI智能匹配，实时分析整合税务部门发布的优惠政策信息，并根据企业自身情况判断是否符合优惠条件，自动收集和整理所需证明材料，按照规定流程提交优惠申请，提高企业获得税务优惠的成功率。比如，针对金融机构特有的复杂业务场景，包括产品嵌套、衍生品交易、多层组织架构及多元客户群体等特征，配备专属税务管理解决方案，提升智能工具的适配性，精准识别出产品政策适用偏差，快速实现</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纳</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税调整。</w:t>
      </w:r>
    </w:p>
    <w:p w14:paraId="1B76F3D8">
      <w:pPr>
        <w:ind w:firstLine="640" w:firstLineChars="200"/>
        <w:jc w:val="left"/>
        <w:rPr>
          <w:rStyle w:val="5"/>
          <w:rFonts w:ascii="楷体" w:hAnsi="楷体" w:eastAsia="楷体" w:cs="楷体"/>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11.典型场景：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研发项目税务合规管理</w:t>
      </w:r>
    </w:p>
    <w:p w14:paraId="12AE01F3">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企业研发人员、财税人员对研发项目是否属于政策享受范围不了解，对监管机构在研发人员认定、工时统计、物料追溯、费用归集等环节审查要求不能及时掌握。研发、财务、人力部门存在数据壁垒，研发费用归集容易出现人员混同、费用分配不合理等风险。</w:t>
      </w:r>
    </w:p>
    <w:p w14:paraId="00AAA680">
      <w:pPr>
        <w:ind w:firstLine="640" w:firstLineChars="200"/>
        <w:jc w:val="left"/>
        <w:rPr>
          <w:rStyle w:val="5"/>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研发费用加计扣除</w:t>
      </w:r>
      <w:r>
        <w:rPr>
          <w:rStyle w:val="5"/>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智能</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管理</w:t>
      </w:r>
      <w:r>
        <w:rPr>
          <w:rStyle w:val="5"/>
          <w:rFonts w:hint="eastAsia" w:ascii="华文仿宋" w:hAnsi="华文仿宋" w:eastAsia="华文仿宋" w:cs="华文仿宋"/>
          <w:color w:val="000000" w:themeColor="text1"/>
          <w:sz w:val="32"/>
          <w:szCs w:val="32"/>
          <w:shd w:val="clear" w:color="auto" w:fill="FFFFFF"/>
          <w:lang w:val="en-US" w:eastAsia="zh-CN"/>
          <w14:textFill>
            <w14:solidFill>
              <w14:schemeClr w14:val="tx1"/>
            </w14:solidFill>
          </w14:textFill>
        </w:rPr>
        <w:t>系统</w:t>
      </w:r>
    </w:p>
    <w:p w14:paraId="6264D5AC">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通过智能研发项目管理系统为各类研发场景提供全面集中化的项目管理，从费用管控、人员管控、设备材料管控，为研发费用加计扣除提供完整的税务合规性解决方案</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从项目研发管控到申报、凭证留存等环节实现数字化管理，帮助企业提高研发管理效率和税务合规性。针对集团企业的研发费用加计管理，按照研发项目归集投入人、财、物等费用，自动生成研发费用汇总明细表，同时每笔发生费用均可追溯至原始凭证，税务管理人员可对汇总明细表进行复核、编辑操作，最终形成研发费用管理报表。</w:t>
      </w:r>
    </w:p>
    <w:p w14:paraId="7214DA55">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12.典型场景：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政策辅导培训</w:t>
      </w:r>
    </w:p>
    <w:p w14:paraId="56E933AF">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传统税收政策推送辅导模式难以全面满足企业个性化和多元化需求，一些政策解读推送内容</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需要结合企业多元化、个性化需求加以理解运用</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，企业</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有时</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面临惠企政策多而顾不上、快而跟不了</w:t>
      </w:r>
      <w:r>
        <w:rPr>
          <w:rStyle w:val="5"/>
          <w:rFonts w:hint="eastAsia" w:ascii="华文仿宋" w:hAnsi="华文仿宋" w:eastAsia="华文仿宋" w:cs="华文仿宋"/>
          <w:b w:val="0"/>
          <w:bCs/>
          <w:color w:val="000000" w:themeColor="text1"/>
          <w:sz w:val="32"/>
          <w:szCs w:val="32"/>
          <w:shd w:val="clear" w:color="auto" w:fill="FFFFFF"/>
          <w:lang w:eastAsia="zh-CN"/>
          <w14:textFill>
            <w14:solidFill>
              <w14:schemeClr w14:val="tx1"/>
            </w14:solidFill>
          </w14:textFill>
        </w:rPr>
        <w:t>，</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理解不透、操作不熟的困扰。</w:t>
      </w:r>
    </w:p>
    <w:p w14:paraId="6024EB29">
      <w:pPr>
        <w:ind w:firstLine="640" w:firstLineChars="200"/>
        <w:jc w:val="left"/>
        <w:rPr>
          <w:rStyle w:val="5"/>
          <w:rFonts w:ascii="楷体" w:hAnsi="楷体" w:eastAsia="楷体" w:cs="楷体"/>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智能体政策精准推送辅导</w:t>
      </w:r>
    </w:p>
    <w:p w14:paraId="38755B31">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通过数据共享、大数据分析、人工智能等技术，依托多类数据对企业进行精准“画像”，建立用以区分不同企业类型的标签，打造“数据仓库”，为提供精准化、个性化服务建立基础，对惠企政策进行指标化整合，将企业和政策进行量化匹配，实现政策精准推送。运用数字人讲师替代部分真人讲师开展直播辅导和实时问答互动，数字人直播提供可视答疑、PPT讲解、现场播报等多种形式，每日可同时开展数场热门政策讲解直播精确查找政策信息。</w:t>
      </w:r>
    </w:p>
    <w:p w14:paraId="5D9ECE6D">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13.典型场景：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税务咨询</w:t>
      </w:r>
    </w:p>
    <w:p w14:paraId="27E432A1">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我国财税</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政策</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持续优化完善</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，全球税制结构、税率设置、征税范围、征税方式</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存在</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差异，涉税实务需要掌握涉及会计、商务、跨境、海关、外汇、上市、税收优惠等多个领域政策法规，同时还包括日常持续沉淀的热点问答、操作指引、</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执业</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案例等，企业难以及时</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全面地</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掌握政策法规信息和执行要求。</w:t>
      </w:r>
    </w:p>
    <w:p w14:paraId="64DFAD4D">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AI税务咨询助手</w:t>
      </w:r>
    </w:p>
    <w:p w14:paraId="0067A0B5">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基于大语言模型（LLM）和检索增强生成（RAG）技术架构的AI税务咨询助手，通过整合特定领域和数据扩展模型，政策解析建立在企业数据基础之上，为生成答案提供引文依据，从而减少大模型幻觉。自然语言处理（NLP）技术凭借智能解析税务文档及高效问答交互的能力提升税务咨询的便捷性与</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执业</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效率，以自然语言聊天的形式随时随地获得专业税务解答。AI智能体可以作为专业财税咨询助手，基于大模型和实时更新的财税知识库，提供精准的咨询服务。财税人员通过自然语言提问，智能体理解分析复杂上下文并生成专业答案，解答日常工作中财务、税务、开票、账表处理等问题。</w:t>
      </w:r>
    </w:p>
    <w:p w14:paraId="0449FE98">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14.典型场景：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文档生成</w:t>
      </w:r>
    </w:p>
    <w:p w14:paraId="426ABC77">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大量</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涉税文书工作底稿</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和报告文档都</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需要</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相对规范的提纲、要素要求和相关数据要求</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在撰写财务报告过程中</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，涉税服务</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人员</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面临</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报告主题选择、内容阐述以及报告格式的规范性等方面</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的挑战，有时</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无法</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准确</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有效地</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输出</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自己的观点和分析结果</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从而影响报告的质量和专业性。</w:t>
      </w:r>
    </w:p>
    <w:p w14:paraId="7A23D975">
      <w:pPr>
        <w:ind w:firstLine="640" w:firstLineChars="200"/>
        <w:jc w:val="left"/>
        <w:rPr>
          <w:rStyle w:val="5"/>
          <w:rFonts w:ascii="楷体" w:hAnsi="楷体" w:eastAsia="楷体" w:cs="楷体"/>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AI</w:t>
      </w:r>
      <w:r>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t>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档生成分析</w:t>
      </w:r>
      <w:r>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t>解读</w:t>
      </w:r>
    </w:p>
    <w:p w14:paraId="0939A29E">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建立以大模型为基础的AI技术文档分析和文档生成的应用场景</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，内置完整的税务数据管理和行业数据库，为此类报告和文档生成提供分析基础，</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实现“涉税底稿”</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和“业务报告”</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标准化体系，统一</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业务流程</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管理口径，提高</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文档</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生成效率</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确保</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涉税文书</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内容的准确性和全面性</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例如</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结合市场行情、财务报表以及新闻舆情等多方面数据分析信息</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多模态大模型</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可以</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自动地生成结构化、内容翔实且格式规范的</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业务</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报告</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财务报告、</w:t>
      </w:r>
      <w:r>
        <w:rPr>
          <w:rStyle w:val="5"/>
          <w:rFonts w:hint="eastAsia" w:ascii="华文仿宋" w:hAnsi="华文仿宋" w:eastAsia="华文仿宋" w:cs="华文仿宋"/>
          <w:b w:val="0"/>
          <w:bCs/>
          <w:color w:val="000000" w:themeColor="text1"/>
          <w:sz w:val="32"/>
          <w:szCs w:val="32"/>
          <w:shd w:val="clear" w:color="auto" w:fill="FFFFFF"/>
          <w:lang w:val="en-US" w:eastAsia="zh-CN"/>
          <w14:textFill>
            <w14:solidFill>
              <w14:schemeClr w14:val="tx1"/>
            </w14:solidFill>
          </w14:textFill>
        </w:rPr>
        <w:t>高新技术企业专项认定</w:t>
      </w:r>
      <w:r>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t>鉴证报告、全球关联交易转让定价文档等。</w:t>
      </w:r>
    </w:p>
    <w:p w14:paraId="0B27959D">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15.典型场景：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 xml:space="preserve">财务审单 </w:t>
      </w:r>
    </w:p>
    <w:p w14:paraId="68710516">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传统的财务审单模式下，财务账单、报销和财务报表生成等重复性任务，大大增加人员审查负担，而且存在主观判断因素，合同审查流程不规范，人工错误和遗漏等风险，影响财务合规处理质效。</w:t>
      </w:r>
    </w:p>
    <w:p w14:paraId="64C7638A">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智能审单</w:t>
      </w:r>
    </w:p>
    <w:p w14:paraId="2682C8B2">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AI通过OCR和NLP技术，自动识别和提取财务单据中的关键信息，如发票号码、金额、日期、供应商名称等，AI多模态提取票据信息，理解并参考企业内部财务记账规则和历史数据，生成凭证或审核已生成凭证。AI智能体结合机器人流程自动化（RPA）技术，涵盖“票业财税银档费金”一体化管理，自动化处理诸如发票开具、申报等重复性税务流程，实现工作效率的提升和错误率的降低。通过学习历史审核案例和法规政策，不断优化审核规则和模型。自动化财务审核流程，提高准确性和效率，降低人工审核成本，减少人为错误，规范企业财务处理流程，减少合规风险。</w:t>
      </w:r>
    </w:p>
    <w:p w14:paraId="79D23361">
      <w:pPr>
        <w:ind w:firstLine="640" w:firstLineChars="200"/>
        <w:jc w:val="left"/>
        <w:rPr>
          <w:rStyle w:val="5"/>
          <w:rFonts w:ascii="仿宋" w:hAnsi="仿宋" w:eastAsia="仿宋" w:cs="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16.典型场景：</w:t>
      </w:r>
      <w:r>
        <w:rPr>
          <w:rStyle w:val="5"/>
          <w:rFonts w:hint="eastAsia" w:ascii="仿宋" w:hAnsi="仿宋" w:eastAsia="仿宋" w:cs="仿宋"/>
          <w:color w:val="000000" w:themeColor="text1"/>
          <w:sz w:val="32"/>
          <w:szCs w:val="32"/>
          <w:shd w:val="clear" w:color="auto" w:fill="FFFFFF"/>
          <w14:textFill>
            <w14:solidFill>
              <w14:schemeClr w14:val="tx1"/>
            </w14:solidFill>
          </w14:textFill>
        </w:rPr>
        <w:t>知识库搭建</w:t>
      </w:r>
    </w:p>
    <w:p w14:paraId="4F92967D">
      <w:pPr>
        <w:ind w:firstLine="640" w:firstLineChars="200"/>
        <w:jc w:val="left"/>
        <w:rPr>
          <w:rStyle w:val="5"/>
          <w:rFonts w:ascii="华文仿宋" w:hAnsi="华文仿宋" w:eastAsia="华文仿宋" w:cs="华文仿宋"/>
          <w:b w:val="0"/>
          <w:bCs/>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痛点：</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传统企业知识管理模式存在碎片化、效率低、协同差等问题，批量整理内部文档与非结构化数据等信息存在文档随意上传，分类模糊，盲目追求大而全，未能有效实现精准关联和查询使用。</w:t>
      </w:r>
    </w:p>
    <w:p w14:paraId="4014B44D">
      <w:pPr>
        <w:ind w:firstLine="640" w:firstLineChars="200"/>
        <w:jc w:val="left"/>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改造目标：</w:t>
      </w:r>
      <w:r>
        <w:rPr>
          <w:rStyle w:val="5"/>
          <w:rFonts w:ascii="华文仿宋" w:hAnsi="华文仿宋" w:eastAsia="华文仿宋" w:cs="华文仿宋"/>
          <w:color w:val="000000" w:themeColor="text1"/>
          <w:sz w:val="32"/>
          <w:szCs w:val="32"/>
          <w:shd w:val="clear" w:color="auto" w:fill="FFFFFF"/>
          <w14:textFill>
            <w14:solidFill>
              <w14:schemeClr w14:val="tx1"/>
            </w14:solidFill>
          </w14:textFill>
        </w:rPr>
        <w:t>多模态</w:t>
      </w:r>
      <w:r>
        <w:rPr>
          <w:rStyle w:val="5"/>
          <w:rFonts w:hint="eastAsia" w:ascii="华文仿宋" w:hAnsi="华文仿宋" w:eastAsia="华文仿宋" w:cs="华文仿宋"/>
          <w:color w:val="000000" w:themeColor="text1"/>
          <w:sz w:val="32"/>
          <w:szCs w:val="32"/>
          <w:shd w:val="clear" w:color="auto" w:fill="FFFFFF"/>
          <w14:textFill>
            <w14:solidFill>
              <w14:schemeClr w14:val="tx1"/>
            </w14:solidFill>
          </w14:textFill>
        </w:rPr>
        <w:t>知识库搭建</w:t>
      </w:r>
    </w:p>
    <w:p w14:paraId="678FAA28">
      <w:pPr>
        <w:ind w:firstLine="640" w:firstLineChars="200"/>
        <w:jc w:val="left"/>
        <w:rPr>
          <w:color w:val="000000" w:themeColor="text1"/>
          <w14:textFill>
            <w14:solidFill>
              <w14:schemeClr w14:val="tx1"/>
            </w14:solidFill>
          </w14:textFill>
        </w:rPr>
      </w:pPr>
      <w:r>
        <w:rPr>
          <w:rStyle w:val="5"/>
          <w:rFonts w:hint="eastAsia" w:ascii="楷体" w:hAnsi="楷体" w:eastAsia="楷体" w:cs="楷体"/>
          <w:b w:val="0"/>
          <w:bCs/>
          <w:color w:val="000000" w:themeColor="text1"/>
          <w:sz w:val="32"/>
          <w:szCs w:val="32"/>
          <w:shd w:val="clear" w:color="auto" w:fill="FFFFFF"/>
          <w14:textFill>
            <w14:solidFill>
              <w14:schemeClr w14:val="tx1"/>
            </w14:solidFill>
          </w14:textFill>
        </w:rPr>
        <w:t>解决方案：</w:t>
      </w:r>
      <w:r>
        <w:rPr>
          <w:rStyle w:val="5"/>
          <w:rFonts w:hint="eastAsia" w:ascii="华文仿宋" w:hAnsi="华文仿宋" w:eastAsia="华文仿宋" w:cs="华文仿宋"/>
          <w:b w:val="0"/>
          <w:bCs/>
          <w:color w:val="000000" w:themeColor="text1"/>
          <w:sz w:val="32"/>
          <w:szCs w:val="32"/>
          <w:shd w:val="clear" w:color="auto" w:fill="FFFFFF"/>
          <w14:textFill>
            <w14:solidFill>
              <w14:schemeClr w14:val="tx1"/>
            </w14:solidFill>
          </w14:textFill>
        </w:rPr>
        <w:t>多模态大模型能够通过网络搜索税法信息、税务案例等数据资源，支持对接官方税收政策库，通过知识图谱技术构建税务知识体系，支持智能化查询，并通过深入的分析对比，分类分级展示最新信息，包括法规、财税报告、专题、案例等，提炼出简洁明了的税种、税率和直观的演示实操案例。税务管理人员通过财税知识库快速查询企业内部财税信息，提高信息获取效率，降低企业内部培训成本，提升数据关联度，为风险识别与合规管理提供支持。</w:t>
      </w:r>
    </w:p>
    <w:p w14:paraId="308588C2">
      <w:pPr>
        <w:rPr>
          <w:color w:val="000000" w:themeColor="text1"/>
          <w14:textFill>
            <w14:solidFill>
              <w14:schemeClr w14:val="tx1"/>
            </w14:solidFill>
          </w14:textFill>
        </w:rPr>
      </w:pPr>
    </w:p>
    <w:p w14:paraId="548DC5AF">
      <w:pPr>
        <w:rPr>
          <w:color w:val="000000" w:themeColor="text1"/>
          <w14:textFill>
            <w14:solidFill>
              <w14:schemeClr w14:val="tx1"/>
            </w14:solidFill>
          </w14:textFill>
        </w:rPr>
      </w:pPr>
    </w:p>
    <w:p w14:paraId="7382D261">
      <w:pPr>
        <w:rPr>
          <w:color w:val="000000" w:themeColor="text1"/>
          <w14:textFill>
            <w14:solidFill>
              <w14:schemeClr w14:val="tx1"/>
            </w14:solidFill>
          </w14:textFill>
        </w:rPr>
      </w:pPr>
    </w:p>
    <w:sectPr>
      <w:footerReference r:id="rId3" w:type="default"/>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753A">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85355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F85355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C58FE"/>
    <w:rsid w:val="000E689E"/>
    <w:rsid w:val="002607F0"/>
    <w:rsid w:val="00694F11"/>
    <w:rsid w:val="007825BE"/>
    <w:rsid w:val="00A118D0"/>
    <w:rsid w:val="00B96E49"/>
    <w:rsid w:val="00DE0A1B"/>
    <w:rsid w:val="024123CD"/>
    <w:rsid w:val="061B59BF"/>
    <w:rsid w:val="083A12E9"/>
    <w:rsid w:val="0C095E5F"/>
    <w:rsid w:val="143A0DE1"/>
    <w:rsid w:val="15062A62"/>
    <w:rsid w:val="1928039A"/>
    <w:rsid w:val="1B09565B"/>
    <w:rsid w:val="205F757E"/>
    <w:rsid w:val="21CF3F72"/>
    <w:rsid w:val="22A83E6A"/>
    <w:rsid w:val="278D3483"/>
    <w:rsid w:val="2C14746A"/>
    <w:rsid w:val="39A2386C"/>
    <w:rsid w:val="40183AC7"/>
    <w:rsid w:val="401F30A7"/>
    <w:rsid w:val="402974E0"/>
    <w:rsid w:val="44980BD7"/>
    <w:rsid w:val="44DC58FE"/>
    <w:rsid w:val="48FC7EDF"/>
    <w:rsid w:val="4AE61F91"/>
    <w:rsid w:val="4D106251"/>
    <w:rsid w:val="4F090F86"/>
    <w:rsid w:val="5008608D"/>
    <w:rsid w:val="548B38CE"/>
    <w:rsid w:val="54CB0CB0"/>
    <w:rsid w:val="5CC130C4"/>
    <w:rsid w:val="5DCB1D21"/>
    <w:rsid w:val="667016B7"/>
    <w:rsid w:val="6C282E17"/>
    <w:rsid w:val="754B3A36"/>
    <w:rsid w:val="765661D4"/>
    <w:rsid w:val="78FA1E5E"/>
    <w:rsid w:val="7BD56A0B"/>
    <w:rsid w:val="7C0C2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11262</Words>
  <Characters>11338</Characters>
  <Lines>81</Lines>
  <Paragraphs>22</Paragraphs>
  <TotalTime>5</TotalTime>
  <ScaleCrop>false</ScaleCrop>
  <LinksUpToDate>false</LinksUpToDate>
  <CharactersWithSpaces>11342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2025-07-31T11:22:00Z</dcterms:created>
  <dc:creator>李頔</dc:creator>
  <cp:lastModifiedBy>万户网络</cp:lastModifiedBy>
  <dcterms:modified xsi:type="dcterms:W3CDTF">2025-08-01T07:53:15Z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65802AF4314E42ABBD6BE01C97231789_13</vt:lpwstr>
  </property>
  <property fmtid="{D5CDD505-2E9C-101B-9397-08002B2CF9AE}" pid="4" name="KSOTemplateDocerSaveRecord">
    <vt:lpwstr>eyJoZGlkIjoiMjc0YjZmZjBhMjU5OTdmZmNlNmU0NWQ1NGQ2OTcyZWQiLCJ1c2VySWQiOiIxMzEwNjY4NzEwIn0=</vt:lpwstr>
  </property>
</Properties>
</file>