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140" w:beforeAutospacing="0" w:after="140" w:afterAutospacing="0" w:line="260" w:lineRule="atLeast"/>
        <w:ind w:firstLine="420"/>
        <w:jc w:val="center"/>
        <w:rPr>
          <w:rFonts w:ascii="黑体" w:hAnsi="黑体" w:eastAsia="黑体" w:cs="黑体"/>
          <w:b/>
          <w:bCs/>
          <w:color w:val="333333"/>
          <w:sz w:val="30"/>
          <w:szCs w:val="30"/>
        </w:rPr>
      </w:pPr>
      <w:r>
        <w:rPr>
          <w:rFonts w:hint="eastAsia" w:ascii="黑体" w:hAnsi="黑体" w:eastAsia="黑体" w:cs="黑体"/>
          <w:b/>
          <w:bCs/>
          <w:color w:val="333333"/>
          <w:sz w:val="30"/>
          <w:szCs w:val="30"/>
          <w:shd w:val="clear" w:color="auto" w:fill="FFFFFF"/>
        </w:rPr>
        <w:t>中国注册税务师协会等级税务师事务所认定办法（2018修订）</w:t>
      </w:r>
    </w:p>
    <w:p>
      <w:pPr>
        <w:pStyle w:val="4"/>
        <w:widowControl/>
        <w:shd w:val="clear" w:color="auto" w:fill="FFFFFF"/>
        <w:spacing w:before="140" w:beforeAutospacing="0" w:after="140" w:afterAutospacing="0" w:line="260" w:lineRule="atLeast"/>
        <w:ind w:firstLine="420"/>
        <w:jc w:val="center"/>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中税协发[2018年]020号</w:t>
      </w:r>
    </w:p>
    <w:p>
      <w:pPr>
        <w:pStyle w:val="4"/>
        <w:widowControl/>
        <w:shd w:val="clear" w:color="auto" w:fill="FFFFFF"/>
        <w:spacing w:before="140" w:beforeAutospacing="0" w:after="140" w:afterAutospacing="0" w:line="260" w:lineRule="atLeast"/>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各省、自治区、直辖市和计划单列市注册税务师协会：</w:t>
      </w:r>
    </w:p>
    <w:p>
      <w:pPr>
        <w:pStyle w:val="4"/>
        <w:widowControl/>
        <w:shd w:val="clear" w:color="auto" w:fill="FFFFFF"/>
        <w:spacing w:before="140" w:beforeAutospacing="0" w:after="140" w:afterAutospacing="0" w:line="260" w:lineRule="atLeast"/>
        <w:ind w:firstLine="560" w:firstLineChars="20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经中国注册税务师协会五届九次常务理事会审议批准，现将《</w:t>
      </w:r>
      <w:r>
        <w:fldChar w:fldCharType="begin"/>
      </w:r>
      <w:r>
        <w:instrText xml:space="preserve"> HYPERLINK "https://cctaa.wkinfo.com.cn/document/show?collection=legislation&amp;aid=MTAxMDAxMjQxMzA=&amp;language=%E4%B8%AD%E6%96%87" \t "https://cctaa.wkinfo.com.cn/legislation/detail/_blank" </w:instrText>
      </w:r>
      <w:r>
        <w:fldChar w:fldCharType="separate"/>
      </w:r>
      <w:r>
        <w:rPr>
          <w:rFonts w:hint="eastAsia" w:asciiTheme="minorEastAsia" w:hAnsiTheme="minorEastAsia" w:cstheme="minorEastAsia"/>
          <w:color w:val="333333"/>
          <w:sz w:val="28"/>
          <w:szCs w:val="28"/>
          <w:shd w:val="clear" w:color="auto" w:fill="FFFFFF"/>
        </w:rPr>
        <w:t>中国注册税务师协会等级税务师事务所认定办法（2018年修订）</w:t>
      </w:r>
      <w:r>
        <w:rPr>
          <w:rFonts w:hint="eastAsia" w:asciiTheme="minorEastAsia" w:hAnsiTheme="minorEastAsia" w:cstheme="minorEastAsia"/>
          <w:color w:val="333333"/>
          <w:sz w:val="28"/>
          <w:szCs w:val="28"/>
          <w:shd w:val="clear" w:color="auto" w:fill="FFFFFF"/>
        </w:rPr>
        <w:fldChar w:fldCharType="end"/>
      </w:r>
      <w:r>
        <w:rPr>
          <w:rFonts w:hint="eastAsia" w:asciiTheme="minorEastAsia" w:hAnsiTheme="minorEastAsia" w:cstheme="minorEastAsia"/>
          <w:color w:val="333333"/>
          <w:sz w:val="28"/>
          <w:szCs w:val="28"/>
          <w:shd w:val="clear" w:color="auto" w:fill="FFFFFF"/>
        </w:rPr>
        <w:t>》印发给你们，请遵照执行。</w:t>
      </w:r>
    </w:p>
    <w:p>
      <w:pPr>
        <w:pStyle w:val="4"/>
        <w:widowControl/>
        <w:shd w:val="clear" w:color="auto" w:fill="FFFFFF"/>
        <w:spacing w:before="140" w:beforeAutospacing="0" w:after="140" w:afterAutospacing="0" w:line="260" w:lineRule="atLeast"/>
        <w:ind w:firstLine="420"/>
        <w:jc w:val="right"/>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中国注册税务师协会</w:t>
      </w:r>
    </w:p>
    <w:p>
      <w:pPr>
        <w:pStyle w:val="4"/>
        <w:widowControl/>
        <w:shd w:val="clear" w:color="auto" w:fill="FFFFFF"/>
        <w:spacing w:before="140" w:beforeAutospacing="0" w:after="140" w:afterAutospacing="0" w:line="260" w:lineRule="atLeast"/>
        <w:ind w:firstLine="420"/>
        <w:jc w:val="right"/>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2018年4月27日</w:t>
      </w:r>
    </w:p>
    <w:p>
      <w:pPr>
        <w:pStyle w:val="4"/>
        <w:widowControl/>
        <w:shd w:val="clear" w:color="auto" w:fill="FFFFFF"/>
        <w:spacing w:before="140" w:beforeAutospacing="0" w:after="140" w:afterAutospacing="0" w:line="300" w:lineRule="atLeast"/>
        <w:ind w:firstLine="420"/>
        <w:jc w:val="center"/>
        <w:rPr>
          <w:rFonts w:ascii="华文中宋" w:hAnsi="华文中宋" w:eastAsia="华文中宋" w:cs="华文中宋"/>
          <w:b/>
          <w:bCs/>
          <w:color w:val="333333"/>
          <w:sz w:val="32"/>
          <w:szCs w:val="32"/>
          <w:shd w:val="clear" w:color="auto" w:fill="FFFFFF"/>
        </w:rPr>
      </w:pPr>
      <w:r>
        <w:rPr>
          <w:rFonts w:hint="eastAsia" w:ascii="华文中宋" w:hAnsi="华文中宋" w:eastAsia="华文中宋" w:cs="华文中宋"/>
          <w:b/>
          <w:bCs/>
          <w:color w:val="333333"/>
          <w:sz w:val="32"/>
          <w:szCs w:val="32"/>
          <w:shd w:val="clear" w:color="auto" w:fill="FFFFFF"/>
        </w:rPr>
        <w:t>中国注册税务师协会等级税务师事务所认定办法</w:t>
      </w:r>
    </w:p>
    <w:p>
      <w:pPr>
        <w:pStyle w:val="4"/>
        <w:widowControl/>
        <w:shd w:val="clear" w:color="auto" w:fill="FFFFFF"/>
        <w:spacing w:before="140" w:beforeAutospacing="0" w:after="140" w:afterAutospacing="0" w:line="300" w:lineRule="atLeast"/>
        <w:ind w:firstLine="420"/>
        <w:jc w:val="center"/>
        <w:rPr>
          <w:rFonts w:asciiTheme="minorEastAsia" w:hAnsiTheme="minorEastAsia" w:cstheme="minorEastAsia"/>
          <w:b/>
          <w:bCs/>
          <w:color w:val="333333"/>
          <w:sz w:val="32"/>
          <w:szCs w:val="32"/>
        </w:rPr>
      </w:pPr>
      <w:r>
        <w:rPr>
          <w:rFonts w:hint="eastAsia" w:asciiTheme="minorEastAsia" w:hAnsiTheme="minorEastAsia" w:cstheme="minorEastAsia"/>
          <w:b/>
          <w:bCs/>
          <w:color w:val="333333"/>
          <w:sz w:val="32"/>
          <w:szCs w:val="32"/>
          <w:shd w:val="clear" w:color="auto" w:fill="FFFFFF"/>
        </w:rPr>
        <w:t>（2018年修订）</w:t>
      </w:r>
    </w:p>
    <w:p>
      <w:pPr>
        <w:pStyle w:val="4"/>
        <w:widowControl/>
        <w:shd w:val="clear" w:color="auto" w:fill="FFFFFF"/>
        <w:spacing w:before="140" w:beforeAutospacing="0" w:after="140" w:afterAutospacing="0" w:line="260" w:lineRule="atLeast"/>
        <w:ind w:firstLine="420"/>
        <w:jc w:val="center"/>
        <w:rPr>
          <w:rFonts w:asciiTheme="minorEastAsia" w:hAnsiTheme="minorEastAsia" w:cstheme="minorEastAsia"/>
          <w:color w:val="333333"/>
          <w:sz w:val="28"/>
          <w:szCs w:val="28"/>
        </w:rPr>
      </w:pPr>
      <w:bookmarkStart w:id="0" w:name="No8_Z1"/>
      <w:bookmarkEnd w:id="0"/>
      <w:r>
        <w:rPr>
          <w:rFonts w:hint="eastAsia" w:asciiTheme="minorEastAsia" w:hAnsiTheme="minorEastAsia" w:cstheme="minorEastAsia"/>
          <w:b/>
          <w:bCs/>
          <w:color w:val="333333"/>
          <w:sz w:val="28"/>
          <w:szCs w:val="28"/>
          <w:shd w:val="clear" w:color="auto" w:fill="FFFFFF"/>
        </w:rPr>
        <w:t>第一章 总则</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shd w:val="clear" w:color="auto" w:fill="FFFFFF"/>
        </w:rPr>
      </w:pPr>
      <w:bookmarkStart w:id="1" w:name="No9_Z1T1"/>
      <w:bookmarkEnd w:id="1"/>
      <w:r>
        <w:rPr>
          <w:rFonts w:hint="eastAsia" w:asciiTheme="minorEastAsia" w:hAnsiTheme="minorEastAsia" w:cstheme="minorEastAsia"/>
          <w:b/>
          <w:bCs/>
          <w:color w:val="333333"/>
          <w:sz w:val="28"/>
          <w:szCs w:val="28"/>
          <w:shd w:val="clear" w:color="auto" w:fill="FFFFFF"/>
        </w:rPr>
        <w:t>第一条</w:t>
      </w:r>
      <w:bookmarkStart w:id="2" w:name="No10_Z1T1K1"/>
      <w:bookmarkEnd w:id="2"/>
      <w:r>
        <w:rPr>
          <w:rFonts w:hint="eastAsia" w:asciiTheme="minorEastAsia" w:hAnsiTheme="minorEastAsia" w:cstheme="minorEastAsia"/>
          <w:color w:val="333333"/>
          <w:sz w:val="28"/>
          <w:szCs w:val="28"/>
          <w:shd w:val="clear" w:color="auto" w:fill="FFFFFF"/>
        </w:rPr>
        <w:t>为促进税务师行业依法经营、规范发展，推动税务师事务所做强做大、做精做专，提高社会知名度，根据《</w:t>
      </w:r>
      <w:r>
        <w:fldChar w:fldCharType="begin"/>
      </w:r>
      <w:r>
        <w:instrText xml:space="preserve"> HYPERLINK "https://cctaa.wkinfo.com.cn/document/show?collection=legislation&amp;aid=MTAwMDUzMjExMDE=&amp;language=%E4%B8%AD%E6%96%87" \t "https://cctaa.wkinfo.com.cn/legislation/detail/_blank" </w:instrText>
      </w:r>
      <w:r>
        <w:fldChar w:fldCharType="separate"/>
      </w:r>
      <w:r>
        <w:rPr>
          <w:rFonts w:hint="eastAsia" w:asciiTheme="minorEastAsia" w:hAnsiTheme="minorEastAsia" w:cstheme="minorEastAsia"/>
          <w:color w:val="333333"/>
          <w:sz w:val="28"/>
          <w:szCs w:val="28"/>
          <w:shd w:val="clear" w:color="auto" w:fill="FFFFFF"/>
        </w:rPr>
        <w:t>中国注册税务师协会章程</w:t>
      </w:r>
      <w:r>
        <w:rPr>
          <w:rFonts w:hint="eastAsia" w:asciiTheme="minorEastAsia" w:hAnsiTheme="minorEastAsia" w:cstheme="minorEastAsia"/>
          <w:color w:val="333333"/>
          <w:sz w:val="28"/>
          <w:szCs w:val="28"/>
          <w:shd w:val="clear" w:color="auto" w:fill="FFFFFF"/>
        </w:rPr>
        <w:fldChar w:fldCharType="end"/>
      </w:r>
      <w:r>
        <w:rPr>
          <w:rFonts w:hint="eastAsia" w:asciiTheme="minorEastAsia" w:hAnsiTheme="minorEastAsia" w:cstheme="minorEastAsia"/>
          <w:color w:val="333333"/>
          <w:sz w:val="28"/>
          <w:szCs w:val="28"/>
          <w:shd w:val="clear" w:color="auto" w:fill="FFFFFF"/>
        </w:rPr>
        <w:t>》等有关规定，制定本办法。</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3" w:name="No11_Z1T2"/>
      <w:bookmarkEnd w:id="3"/>
      <w:r>
        <w:rPr>
          <w:rFonts w:hint="eastAsia" w:asciiTheme="minorEastAsia" w:hAnsiTheme="minorEastAsia" w:cstheme="minorEastAsia"/>
          <w:b/>
          <w:bCs/>
          <w:color w:val="333333"/>
          <w:sz w:val="28"/>
          <w:szCs w:val="28"/>
          <w:shd w:val="clear" w:color="auto" w:fill="FFFFFF"/>
        </w:rPr>
        <w:t>第二条</w:t>
      </w:r>
      <w:bookmarkStart w:id="4" w:name="No12_Z1T2K1"/>
      <w:bookmarkEnd w:id="4"/>
      <w:r>
        <w:rPr>
          <w:rFonts w:hint="eastAsia" w:asciiTheme="minorEastAsia" w:hAnsiTheme="minorEastAsia" w:cstheme="minorEastAsia"/>
          <w:color w:val="333333"/>
          <w:sz w:val="28"/>
          <w:szCs w:val="28"/>
          <w:shd w:val="clear" w:color="auto" w:fill="FFFFFF"/>
        </w:rPr>
        <w:t>本办法所称的税务师事务所是指加入中国注册税务师协会（以下简称“中税协”）的税务师事务所。</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5" w:name="No13_Z1T3"/>
      <w:bookmarkEnd w:id="5"/>
      <w:r>
        <w:rPr>
          <w:rFonts w:hint="eastAsia" w:asciiTheme="minorEastAsia" w:hAnsiTheme="minorEastAsia" w:cstheme="minorEastAsia"/>
          <w:b/>
          <w:bCs/>
          <w:color w:val="333333"/>
          <w:sz w:val="28"/>
          <w:szCs w:val="28"/>
          <w:shd w:val="clear" w:color="auto" w:fill="FFFFFF"/>
        </w:rPr>
        <w:t>第三条</w:t>
      </w:r>
      <w:bookmarkStart w:id="6" w:name="No14_Z1T3K1"/>
      <w:bookmarkEnd w:id="6"/>
      <w:r>
        <w:rPr>
          <w:rFonts w:hint="eastAsia" w:asciiTheme="minorEastAsia" w:hAnsiTheme="minorEastAsia" w:cstheme="minorEastAsia"/>
          <w:color w:val="333333"/>
          <w:sz w:val="28"/>
          <w:szCs w:val="28"/>
          <w:shd w:val="clear" w:color="auto" w:fill="FFFFFF"/>
        </w:rPr>
        <w:t>等级税务师事务所的认定，由事务所自愿申请，中税协和地方注册税务师协会（以下简称“地方税协”）审核认定。</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7" w:name="No15_Z1T4"/>
      <w:bookmarkEnd w:id="7"/>
      <w:r>
        <w:rPr>
          <w:rFonts w:hint="eastAsia" w:asciiTheme="minorEastAsia" w:hAnsiTheme="minorEastAsia" w:cstheme="minorEastAsia"/>
          <w:b/>
          <w:bCs/>
          <w:color w:val="333333"/>
          <w:sz w:val="28"/>
          <w:szCs w:val="28"/>
          <w:shd w:val="clear" w:color="auto" w:fill="FFFFFF"/>
        </w:rPr>
        <w:t>第四条</w:t>
      </w:r>
      <w:bookmarkStart w:id="8" w:name="No16_Z1T4K1"/>
      <w:bookmarkEnd w:id="8"/>
      <w:r>
        <w:rPr>
          <w:rFonts w:hint="eastAsia" w:asciiTheme="minorEastAsia" w:hAnsiTheme="minorEastAsia" w:cstheme="minorEastAsia"/>
          <w:color w:val="333333"/>
          <w:sz w:val="28"/>
          <w:szCs w:val="28"/>
          <w:shd w:val="clear" w:color="auto" w:fill="FFFFFF"/>
        </w:rPr>
        <w:t>等级税务师事务所分为五级，即A级、AA级、AAA级、AAAA级、AAAAA级。中税协负责AAAA级、AAAAA级税务师事务所的审核认定；地方税协负责A级、AA级、AAA级税务师事务所的审核认定。证书由中税协统一设计制作，牌匾由中税协统一设计、由中税协和地方税协分别制作；因开拓业务等特殊需求，等级税务师事务所可向中税协申请制作个性化牌匾，批准后由地方税协监制。</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9" w:name="No17_Z1T5"/>
      <w:bookmarkEnd w:id="9"/>
      <w:r>
        <w:rPr>
          <w:rFonts w:hint="eastAsia" w:asciiTheme="minorEastAsia" w:hAnsiTheme="minorEastAsia" w:cstheme="minorEastAsia"/>
          <w:b/>
          <w:bCs/>
          <w:color w:val="333333"/>
          <w:sz w:val="28"/>
          <w:szCs w:val="28"/>
          <w:shd w:val="clear" w:color="auto" w:fill="FFFFFF"/>
        </w:rPr>
        <w:t>第五条</w:t>
      </w:r>
      <w:bookmarkStart w:id="10" w:name="No18_Z1T5K1"/>
      <w:bookmarkEnd w:id="10"/>
      <w:r>
        <w:rPr>
          <w:rFonts w:hint="eastAsia" w:asciiTheme="minorEastAsia" w:hAnsiTheme="minorEastAsia" w:cstheme="minorEastAsia"/>
          <w:color w:val="333333"/>
          <w:sz w:val="28"/>
          <w:szCs w:val="28"/>
          <w:shd w:val="clear" w:color="auto" w:fill="FFFFFF"/>
        </w:rPr>
        <w:t>获得等级的税务师事务所应具备专业优势、核心竞争力，享有执业信誉。中税协和地方税协优先推荐获得等级的税务师事务所从事业务活动。</w:t>
      </w:r>
    </w:p>
    <w:p>
      <w:pPr>
        <w:pStyle w:val="4"/>
        <w:widowControl/>
        <w:shd w:val="clear" w:color="auto" w:fill="FFFFFF"/>
        <w:spacing w:beforeAutospacing="0" w:afterAutospacing="0" w:line="260" w:lineRule="atLeast"/>
        <w:jc w:val="center"/>
        <w:rPr>
          <w:rFonts w:asciiTheme="minorEastAsia" w:hAnsiTheme="minorEastAsia" w:cstheme="minorEastAsia"/>
          <w:color w:val="333333"/>
          <w:sz w:val="28"/>
          <w:szCs w:val="28"/>
        </w:rPr>
      </w:pPr>
      <w:bookmarkStart w:id="11" w:name="No19_Z2"/>
      <w:bookmarkEnd w:id="11"/>
      <w:r>
        <w:rPr>
          <w:rFonts w:hint="eastAsia" w:asciiTheme="minorEastAsia" w:hAnsiTheme="minorEastAsia" w:cstheme="minorEastAsia"/>
          <w:b/>
          <w:bCs/>
          <w:color w:val="333333"/>
          <w:sz w:val="28"/>
          <w:szCs w:val="28"/>
          <w:shd w:val="clear" w:color="auto" w:fill="FFFFFF"/>
        </w:rPr>
        <w:t>第二章 认定标准</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12" w:name="No20_Z2T6"/>
      <w:bookmarkEnd w:id="12"/>
      <w:r>
        <w:rPr>
          <w:rFonts w:hint="eastAsia" w:asciiTheme="minorEastAsia" w:hAnsiTheme="minorEastAsia" w:cstheme="minorEastAsia"/>
          <w:b/>
          <w:bCs/>
          <w:color w:val="333333"/>
          <w:sz w:val="28"/>
          <w:szCs w:val="28"/>
          <w:shd w:val="clear" w:color="auto" w:fill="FFFFFF"/>
        </w:rPr>
        <w:t>第六条</w:t>
      </w:r>
      <w:bookmarkStart w:id="13" w:name="No21_Z2T6K1"/>
      <w:bookmarkEnd w:id="13"/>
      <w:r>
        <w:rPr>
          <w:rFonts w:hint="eastAsia" w:asciiTheme="minorEastAsia" w:hAnsiTheme="minorEastAsia" w:cstheme="minorEastAsia"/>
          <w:color w:val="333333"/>
          <w:sz w:val="28"/>
          <w:szCs w:val="28"/>
          <w:shd w:val="clear" w:color="auto" w:fill="FFFFFF"/>
        </w:rPr>
        <w:t>中税协负责制定等级认定标准（见附件1《税务师事务所等级认定标准》）。</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14" w:name="No22_Z2T7"/>
      <w:bookmarkEnd w:id="14"/>
      <w:r>
        <w:rPr>
          <w:rFonts w:hint="eastAsia" w:asciiTheme="minorEastAsia" w:hAnsiTheme="minorEastAsia" w:cstheme="minorEastAsia"/>
          <w:b/>
          <w:bCs/>
          <w:color w:val="333333"/>
          <w:sz w:val="28"/>
          <w:szCs w:val="28"/>
          <w:shd w:val="clear" w:color="auto" w:fill="FFFFFF"/>
        </w:rPr>
        <w:t>第七条</w:t>
      </w:r>
      <w:bookmarkStart w:id="15" w:name="No23_Z2T7K1"/>
      <w:bookmarkEnd w:id="15"/>
      <w:r>
        <w:rPr>
          <w:rFonts w:hint="eastAsia" w:asciiTheme="minorEastAsia" w:hAnsiTheme="minorEastAsia" w:cstheme="minorEastAsia"/>
          <w:color w:val="333333"/>
          <w:sz w:val="28"/>
          <w:szCs w:val="28"/>
          <w:shd w:val="clear" w:color="auto" w:fill="FFFFFF"/>
        </w:rPr>
        <w:t>中税协负责制定AAAA级、AAAAA级税务师事务所及其颁发牌匾的分支机构业绩标准；并可根据行业发展情况调整业绩标准。</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16" w:name="No24_Z2T7K2"/>
      <w:bookmarkEnd w:id="16"/>
      <w:r>
        <w:rPr>
          <w:rFonts w:hint="eastAsia" w:asciiTheme="minorEastAsia" w:hAnsiTheme="minorEastAsia" w:cstheme="minorEastAsia"/>
          <w:color w:val="333333"/>
          <w:sz w:val="28"/>
          <w:szCs w:val="28"/>
          <w:shd w:val="clear" w:color="auto" w:fill="FFFFFF"/>
        </w:rPr>
        <w:t>地方税协负责制定本地区A级、AA级、AAA级税务师事务所的业绩标准。</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17" w:name="No25_Z2T8"/>
      <w:bookmarkEnd w:id="17"/>
      <w:r>
        <w:rPr>
          <w:rFonts w:hint="eastAsia" w:asciiTheme="minorEastAsia" w:hAnsiTheme="minorEastAsia" w:cstheme="minorEastAsia"/>
          <w:b/>
          <w:bCs/>
          <w:color w:val="333333"/>
          <w:sz w:val="28"/>
          <w:szCs w:val="28"/>
          <w:shd w:val="clear" w:color="auto" w:fill="FFFFFF"/>
        </w:rPr>
        <w:t>第八条</w:t>
      </w:r>
      <w:bookmarkStart w:id="18" w:name="No26_Z2T8K1"/>
      <w:bookmarkEnd w:id="18"/>
      <w:r>
        <w:rPr>
          <w:rFonts w:hint="eastAsia" w:asciiTheme="minorEastAsia" w:hAnsiTheme="minorEastAsia" w:cstheme="minorEastAsia"/>
          <w:color w:val="333333"/>
          <w:sz w:val="28"/>
          <w:szCs w:val="28"/>
          <w:shd w:val="clear" w:color="auto" w:fill="FFFFFF"/>
        </w:rPr>
        <w:t>等级税务师事务所认定采取项目评分制，满分100分，90分（含）以上合格。</w:t>
      </w:r>
    </w:p>
    <w:p>
      <w:pPr>
        <w:pStyle w:val="4"/>
        <w:widowControl/>
        <w:shd w:val="clear" w:color="auto" w:fill="FFFFFF"/>
        <w:spacing w:beforeAutospacing="0" w:afterAutospacing="0" w:line="260" w:lineRule="atLeast"/>
        <w:ind w:firstLine="420"/>
        <w:jc w:val="center"/>
        <w:rPr>
          <w:rFonts w:asciiTheme="minorEastAsia" w:hAnsiTheme="minorEastAsia" w:cstheme="minorEastAsia"/>
          <w:color w:val="333333"/>
          <w:sz w:val="28"/>
          <w:szCs w:val="28"/>
        </w:rPr>
      </w:pPr>
      <w:bookmarkStart w:id="19" w:name="No27_Z3"/>
      <w:bookmarkEnd w:id="19"/>
      <w:r>
        <w:rPr>
          <w:rFonts w:hint="eastAsia" w:asciiTheme="minorEastAsia" w:hAnsiTheme="minorEastAsia" w:cstheme="minorEastAsia"/>
          <w:b/>
          <w:bCs/>
          <w:color w:val="333333"/>
          <w:sz w:val="28"/>
          <w:szCs w:val="28"/>
          <w:shd w:val="clear" w:color="auto" w:fill="FFFFFF"/>
        </w:rPr>
        <w:t>第三章 认定程序</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20" w:name="No28_Z3T9"/>
      <w:bookmarkEnd w:id="20"/>
      <w:r>
        <w:rPr>
          <w:rFonts w:hint="eastAsia" w:asciiTheme="minorEastAsia" w:hAnsiTheme="minorEastAsia" w:cstheme="minorEastAsia"/>
          <w:b/>
          <w:bCs/>
          <w:color w:val="333333"/>
          <w:sz w:val="28"/>
          <w:szCs w:val="28"/>
          <w:shd w:val="clear" w:color="auto" w:fill="FFFFFF"/>
        </w:rPr>
        <w:t>第九条</w:t>
      </w:r>
      <w:bookmarkStart w:id="21" w:name="No29_Z3T9K1"/>
      <w:bookmarkEnd w:id="21"/>
      <w:r>
        <w:rPr>
          <w:rFonts w:hint="eastAsia" w:asciiTheme="minorEastAsia" w:hAnsiTheme="minorEastAsia" w:cstheme="minorEastAsia"/>
          <w:color w:val="333333"/>
          <w:sz w:val="28"/>
          <w:szCs w:val="28"/>
          <w:shd w:val="clear" w:color="auto" w:fill="FFFFFF"/>
        </w:rPr>
        <w:t>税务师事务所向地方税协申请等级。</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22" w:name="No30_Z3T10"/>
      <w:bookmarkEnd w:id="22"/>
      <w:r>
        <w:rPr>
          <w:rFonts w:hint="eastAsia" w:asciiTheme="minorEastAsia" w:hAnsiTheme="minorEastAsia" w:cstheme="minorEastAsia"/>
          <w:b/>
          <w:bCs/>
          <w:color w:val="333333"/>
          <w:sz w:val="28"/>
          <w:szCs w:val="28"/>
          <w:shd w:val="clear" w:color="auto" w:fill="FFFFFF"/>
        </w:rPr>
        <w:t>第十条</w:t>
      </w:r>
      <w:bookmarkStart w:id="23" w:name="No31_Z3T10K1"/>
      <w:bookmarkEnd w:id="23"/>
      <w:r>
        <w:rPr>
          <w:rFonts w:hint="eastAsia" w:asciiTheme="minorEastAsia" w:hAnsiTheme="minorEastAsia" w:cstheme="minorEastAsia"/>
          <w:color w:val="333333"/>
          <w:sz w:val="28"/>
          <w:szCs w:val="28"/>
          <w:shd w:val="clear" w:color="auto" w:fill="FFFFFF"/>
        </w:rPr>
        <w:t>税务师事务所申请等级认定应提供如下材料：</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24" w:name="No32_T10K1X1"/>
      <w:bookmarkEnd w:id="24"/>
      <w:r>
        <w:rPr>
          <w:rFonts w:hint="eastAsia" w:asciiTheme="minorEastAsia" w:hAnsiTheme="minorEastAsia" w:cstheme="minorEastAsia"/>
          <w:color w:val="333333"/>
          <w:sz w:val="28"/>
          <w:szCs w:val="28"/>
          <w:shd w:val="clear" w:color="auto" w:fill="FFFFFF"/>
        </w:rPr>
        <w:t>（一）《税务师事务所等级认定申请表》（见附件2）；</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25" w:name="No33_T10K1X2"/>
      <w:bookmarkEnd w:id="25"/>
      <w:r>
        <w:rPr>
          <w:rFonts w:hint="eastAsia" w:asciiTheme="minorEastAsia" w:hAnsiTheme="minorEastAsia" w:cstheme="minorEastAsia"/>
          <w:color w:val="333333"/>
          <w:sz w:val="28"/>
          <w:szCs w:val="28"/>
          <w:shd w:val="clear" w:color="auto" w:fill="FFFFFF"/>
        </w:rPr>
        <w:t>（二）税务师事务所行政登记证书、营业执照（副本）、公司章程复印件；</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26" w:name="No34_T10K1X3"/>
      <w:bookmarkEnd w:id="26"/>
      <w:r>
        <w:rPr>
          <w:rFonts w:hint="eastAsia" w:asciiTheme="minorEastAsia" w:hAnsiTheme="minorEastAsia" w:cstheme="minorEastAsia"/>
          <w:color w:val="333333"/>
          <w:sz w:val="28"/>
          <w:szCs w:val="28"/>
          <w:shd w:val="clear" w:color="auto" w:fill="FFFFFF"/>
        </w:rPr>
        <w:t>（三）税务师事务所对分支机构拥有实际控制权的证明材料、原所变更或注销的相关证明（集团化税务师事务所适用）；</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27" w:name="No35_T10K1X4"/>
      <w:bookmarkEnd w:id="27"/>
      <w:r>
        <w:rPr>
          <w:rFonts w:hint="eastAsia" w:asciiTheme="minorEastAsia" w:hAnsiTheme="minorEastAsia" w:cstheme="minorEastAsia"/>
          <w:color w:val="333333"/>
          <w:sz w:val="28"/>
          <w:szCs w:val="28"/>
          <w:shd w:val="clear" w:color="auto" w:fill="FFFFFF"/>
        </w:rPr>
        <w:t>（四）事务所从业人员名单（注明资格证书和个人会员证编号）；</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28" w:name="No36_T10K1X5"/>
      <w:bookmarkEnd w:id="28"/>
      <w:r>
        <w:rPr>
          <w:rFonts w:hint="eastAsia" w:asciiTheme="minorEastAsia" w:hAnsiTheme="minorEastAsia" w:cstheme="minorEastAsia"/>
          <w:color w:val="333333"/>
          <w:sz w:val="28"/>
          <w:szCs w:val="28"/>
          <w:shd w:val="clear" w:color="auto" w:fill="FFFFFF"/>
        </w:rPr>
        <w:t>（五）税务师事务所全体职工的劳动合同清单和为职工缴纳社会保险的相关证明；</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29" w:name="No37_T10K1X6"/>
      <w:bookmarkEnd w:id="29"/>
      <w:r>
        <w:rPr>
          <w:rFonts w:hint="eastAsia" w:asciiTheme="minorEastAsia" w:hAnsiTheme="minorEastAsia" w:cstheme="minorEastAsia"/>
          <w:color w:val="333333"/>
          <w:sz w:val="28"/>
          <w:szCs w:val="28"/>
          <w:shd w:val="clear" w:color="auto" w:fill="FFFFFF"/>
        </w:rPr>
        <w:t>（六）上年度财务报表；</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30" w:name="No38_T10K1X7"/>
      <w:bookmarkEnd w:id="30"/>
      <w:r>
        <w:rPr>
          <w:rFonts w:hint="eastAsia" w:asciiTheme="minorEastAsia" w:hAnsiTheme="minorEastAsia" w:cstheme="minorEastAsia"/>
          <w:color w:val="333333"/>
          <w:sz w:val="28"/>
          <w:szCs w:val="28"/>
          <w:shd w:val="clear" w:color="auto" w:fill="FFFFFF"/>
        </w:rPr>
        <w:t>（七）上年度应交已交税金统计表；</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31" w:name="No39_T10K1X8"/>
      <w:bookmarkEnd w:id="31"/>
      <w:r>
        <w:rPr>
          <w:rFonts w:hint="eastAsia" w:asciiTheme="minorEastAsia" w:hAnsiTheme="minorEastAsia" w:cstheme="minorEastAsia"/>
          <w:color w:val="333333"/>
          <w:sz w:val="28"/>
          <w:szCs w:val="28"/>
          <w:shd w:val="clear" w:color="auto" w:fill="FFFFFF"/>
        </w:rPr>
        <w:t>（八）内部管理制度；</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32" w:name="No40_T10K1X9"/>
      <w:bookmarkEnd w:id="32"/>
      <w:r>
        <w:rPr>
          <w:rFonts w:hint="eastAsia" w:asciiTheme="minorEastAsia" w:hAnsiTheme="minorEastAsia" w:cstheme="minorEastAsia"/>
          <w:color w:val="333333"/>
          <w:sz w:val="28"/>
          <w:szCs w:val="28"/>
          <w:shd w:val="clear" w:color="auto" w:fill="FFFFFF"/>
        </w:rPr>
        <w:t>（九）中税协或地方税协规定的其他证明材料。</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33" w:name="No41_Z3T11"/>
      <w:bookmarkEnd w:id="33"/>
      <w:r>
        <w:rPr>
          <w:rFonts w:hint="eastAsia" w:asciiTheme="minorEastAsia" w:hAnsiTheme="minorEastAsia" w:cstheme="minorEastAsia"/>
          <w:b/>
          <w:bCs/>
          <w:color w:val="333333"/>
          <w:sz w:val="28"/>
          <w:szCs w:val="28"/>
          <w:shd w:val="clear" w:color="auto" w:fill="FFFFFF"/>
        </w:rPr>
        <w:t>第十一条</w:t>
      </w:r>
      <w:bookmarkStart w:id="34" w:name="No42_Z3T11K1"/>
      <w:bookmarkEnd w:id="34"/>
      <w:r>
        <w:rPr>
          <w:rFonts w:hint="eastAsia" w:asciiTheme="minorEastAsia" w:hAnsiTheme="minorEastAsia" w:cstheme="minorEastAsia"/>
          <w:color w:val="333333"/>
          <w:sz w:val="28"/>
          <w:szCs w:val="28"/>
          <w:shd w:val="clear" w:color="auto" w:fill="FFFFFF"/>
        </w:rPr>
        <w:t>地方税协受理税务师事务所A级、AA级、AAA级申请后，应组织审核小组对税务师事务所进行实地审核并写出审核报告。地方税协对申请AAAA级、AAAAA级的事务所进行书面审查，并在30个工作日内签署审查意见。</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35" w:name="No43_Z3T11K2"/>
      <w:bookmarkEnd w:id="35"/>
      <w:r>
        <w:rPr>
          <w:rFonts w:hint="eastAsia" w:asciiTheme="minorEastAsia" w:hAnsiTheme="minorEastAsia" w:cstheme="minorEastAsia"/>
          <w:color w:val="333333"/>
          <w:sz w:val="28"/>
          <w:szCs w:val="28"/>
          <w:shd w:val="clear" w:color="auto" w:fill="FFFFFF"/>
        </w:rPr>
        <w:t>中税协对申请AAAA级、AAAAA级的税务师事务所及其分支机构进行实地审核，或委托地方税协对其进行实地审核。</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36" w:name="No44_Z3T12"/>
      <w:bookmarkEnd w:id="36"/>
      <w:r>
        <w:rPr>
          <w:rFonts w:hint="eastAsia" w:asciiTheme="minorEastAsia" w:hAnsiTheme="minorEastAsia" w:cstheme="minorEastAsia"/>
          <w:b/>
          <w:bCs/>
          <w:color w:val="333333"/>
          <w:sz w:val="28"/>
          <w:szCs w:val="28"/>
          <w:shd w:val="clear" w:color="auto" w:fill="FFFFFF"/>
        </w:rPr>
        <w:t>第十二条</w:t>
      </w:r>
      <w:bookmarkStart w:id="37" w:name="No45_Z3T12K1"/>
      <w:bookmarkEnd w:id="37"/>
      <w:r>
        <w:rPr>
          <w:rFonts w:hint="eastAsia" w:asciiTheme="minorEastAsia" w:hAnsiTheme="minorEastAsia" w:cstheme="minorEastAsia"/>
          <w:color w:val="333333"/>
          <w:sz w:val="28"/>
          <w:szCs w:val="28"/>
          <w:shd w:val="clear" w:color="auto" w:fill="FFFFFF"/>
        </w:rPr>
        <w:t>实地审核结束后，中税协或地方税协就发现的问题向税务师事务所下发整改通知。</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38" w:name="No46_Z3T13"/>
      <w:bookmarkEnd w:id="38"/>
      <w:r>
        <w:rPr>
          <w:rFonts w:hint="eastAsia" w:asciiTheme="minorEastAsia" w:hAnsiTheme="minorEastAsia" w:cstheme="minorEastAsia"/>
          <w:b/>
          <w:bCs/>
          <w:color w:val="333333"/>
          <w:sz w:val="28"/>
          <w:szCs w:val="28"/>
          <w:shd w:val="clear" w:color="auto" w:fill="FFFFFF"/>
        </w:rPr>
        <w:t>第十三条</w:t>
      </w:r>
      <w:bookmarkStart w:id="39" w:name="No47_Z3T13K1"/>
      <w:bookmarkEnd w:id="39"/>
      <w:r>
        <w:rPr>
          <w:rFonts w:hint="eastAsia" w:asciiTheme="minorEastAsia" w:hAnsiTheme="minorEastAsia" w:cstheme="minorEastAsia"/>
          <w:color w:val="333333"/>
          <w:sz w:val="28"/>
          <w:szCs w:val="28"/>
          <w:shd w:val="clear" w:color="auto" w:fill="FFFFFF"/>
        </w:rPr>
        <w:t>中税协会长专题会对经审查、审核的AAAA级、AAAAA级税务师事务所候选名单进行审议，地方税协会长专题会对经审查、审核的A级、AA级、AAA级税务师事务所进行审议，通过后向社会公示；如五个工作日内无异议，分别由中税协、地方税协会长办公会审议通过后向社会公告。</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40" w:name="No48_Z3T13K2"/>
      <w:bookmarkEnd w:id="40"/>
      <w:r>
        <w:rPr>
          <w:rFonts w:hint="eastAsia" w:asciiTheme="minorEastAsia" w:hAnsiTheme="minorEastAsia" w:cstheme="minorEastAsia"/>
          <w:color w:val="333333"/>
          <w:sz w:val="28"/>
          <w:szCs w:val="28"/>
          <w:shd w:val="clear" w:color="auto" w:fill="FFFFFF"/>
        </w:rPr>
        <w:t>中税协会长专题会对经审查、审核的申请单独授牌的AAAA级、AAAAA级税务师事务所分支机构候选名单进行审议，通过后向社会公示；如五个工作日内无异议，向社会公告。</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41" w:name="No49_Z3T14"/>
      <w:bookmarkEnd w:id="41"/>
      <w:r>
        <w:rPr>
          <w:rFonts w:hint="eastAsia" w:asciiTheme="minorEastAsia" w:hAnsiTheme="minorEastAsia" w:cstheme="minorEastAsia"/>
          <w:b/>
          <w:bCs/>
          <w:color w:val="333333"/>
          <w:sz w:val="28"/>
          <w:szCs w:val="28"/>
          <w:shd w:val="clear" w:color="auto" w:fill="FFFFFF"/>
        </w:rPr>
        <w:t>第十四条</w:t>
      </w:r>
      <w:bookmarkStart w:id="42" w:name="No50_Z3T14K1"/>
      <w:bookmarkEnd w:id="42"/>
      <w:r>
        <w:rPr>
          <w:rFonts w:hint="eastAsia" w:asciiTheme="minorEastAsia" w:hAnsiTheme="minorEastAsia" w:cstheme="minorEastAsia"/>
          <w:color w:val="333333"/>
          <w:sz w:val="28"/>
          <w:szCs w:val="28"/>
          <w:shd w:val="clear" w:color="auto" w:fill="FFFFFF"/>
        </w:rPr>
        <w:t>地方税协认定的A级、AA级、AAA级税务师事务所名单应于每年8月底前报送中税协备案。</w:t>
      </w:r>
    </w:p>
    <w:p>
      <w:pPr>
        <w:pStyle w:val="4"/>
        <w:widowControl/>
        <w:shd w:val="clear" w:color="auto" w:fill="FFFFFF"/>
        <w:spacing w:beforeAutospacing="0" w:afterAutospacing="0" w:line="260" w:lineRule="atLeast"/>
        <w:ind w:firstLine="420"/>
        <w:jc w:val="center"/>
        <w:rPr>
          <w:rFonts w:asciiTheme="minorEastAsia" w:hAnsiTheme="minorEastAsia" w:cstheme="minorEastAsia"/>
          <w:color w:val="333333"/>
          <w:sz w:val="28"/>
          <w:szCs w:val="28"/>
        </w:rPr>
      </w:pPr>
      <w:bookmarkStart w:id="43" w:name="No51_Z4"/>
      <w:bookmarkEnd w:id="43"/>
      <w:r>
        <w:rPr>
          <w:rFonts w:hint="eastAsia" w:asciiTheme="minorEastAsia" w:hAnsiTheme="minorEastAsia" w:cstheme="minorEastAsia"/>
          <w:b/>
          <w:bCs/>
          <w:color w:val="333333"/>
          <w:sz w:val="28"/>
          <w:szCs w:val="28"/>
          <w:shd w:val="clear" w:color="auto" w:fill="FFFFFF"/>
        </w:rPr>
        <w:t>第四章 等级所管理</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44" w:name="No52_Z4T15"/>
      <w:bookmarkEnd w:id="44"/>
      <w:r>
        <w:rPr>
          <w:rFonts w:hint="eastAsia" w:asciiTheme="minorEastAsia" w:hAnsiTheme="minorEastAsia" w:cstheme="minorEastAsia"/>
          <w:b/>
          <w:bCs/>
          <w:color w:val="333333"/>
          <w:sz w:val="28"/>
          <w:szCs w:val="28"/>
          <w:shd w:val="clear" w:color="auto" w:fill="FFFFFF"/>
        </w:rPr>
        <w:t>第十五条</w:t>
      </w:r>
      <w:bookmarkStart w:id="45" w:name="No53_Z4T15K1"/>
      <w:bookmarkEnd w:id="45"/>
      <w:r>
        <w:rPr>
          <w:rFonts w:hint="eastAsia" w:asciiTheme="minorEastAsia" w:hAnsiTheme="minorEastAsia" w:cstheme="minorEastAsia"/>
          <w:color w:val="333333"/>
          <w:sz w:val="28"/>
          <w:szCs w:val="28"/>
          <w:shd w:val="clear" w:color="auto" w:fill="FFFFFF"/>
        </w:rPr>
        <w:t>中税协和地方税协每年在常规报送资料和行业年度报表基础上对已获得等级的税务师事务所进行书面复核，按附件1规定的内容采取重点抽查的方式进行实地审核。</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46" w:name="No54_Z4T15K2"/>
      <w:bookmarkEnd w:id="46"/>
      <w:r>
        <w:rPr>
          <w:rFonts w:hint="eastAsia" w:asciiTheme="minorEastAsia" w:hAnsiTheme="minorEastAsia" w:cstheme="minorEastAsia"/>
          <w:color w:val="333333"/>
          <w:sz w:val="28"/>
          <w:szCs w:val="28"/>
          <w:shd w:val="clear" w:color="auto" w:fill="FFFFFF"/>
        </w:rPr>
        <w:t>对书面复核指标异常的税务师事务所或首次符合授牌标准的分支机构须进行实地审核。</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47" w:name="No55_Z4T16"/>
      <w:bookmarkEnd w:id="47"/>
      <w:r>
        <w:rPr>
          <w:rFonts w:hint="eastAsia" w:asciiTheme="minorEastAsia" w:hAnsiTheme="minorEastAsia" w:cstheme="minorEastAsia"/>
          <w:b/>
          <w:bCs/>
          <w:color w:val="333333"/>
          <w:sz w:val="28"/>
          <w:szCs w:val="28"/>
          <w:shd w:val="clear" w:color="auto" w:fill="FFFFFF"/>
        </w:rPr>
        <w:t>第十六条</w:t>
      </w:r>
      <w:bookmarkStart w:id="48" w:name="No56_Z4T16K1"/>
      <w:bookmarkEnd w:id="48"/>
      <w:r>
        <w:rPr>
          <w:rFonts w:hint="eastAsia" w:asciiTheme="minorEastAsia" w:hAnsiTheme="minorEastAsia" w:cstheme="minorEastAsia"/>
          <w:color w:val="333333"/>
          <w:sz w:val="28"/>
          <w:szCs w:val="28"/>
          <w:shd w:val="clear" w:color="auto" w:fill="FFFFFF"/>
        </w:rPr>
        <w:t>已获得等级且等级没有发生变化的税务师事务所不需要重新申请、报送第十条规定的材料，但分支机构有变动的税务师事务所应报送其变动情况。</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49" w:name="No57_Z4T17"/>
      <w:bookmarkEnd w:id="49"/>
      <w:r>
        <w:rPr>
          <w:rFonts w:hint="eastAsia" w:asciiTheme="minorEastAsia" w:hAnsiTheme="minorEastAsia" w:cstheme="minorEastAsia"/>
          <w:b/>
          <w:bCs/>
          <w:color w:val="333333"/>
          <w:sz w:val="28"/>
          <w:szCs w:val="28"/>
          <w:shd w:val="clear" w:color="auto" w:fill="FFFFFF"/>
        </w:rPr>
        <w:t>第十七条</w:t>
      </w:r>
      <w:bookmarkStart w:id="50" w:name="No58_Z4T17K1"/>
      <w:bookmarkEnd w:id="50"/>
      <w:r>
        <w:rPr>
          <w:rFonts w:hint="eastAsia" w:asciiTheme="minorEastAsia" w:hAnsiTheme="minorEastAsia" w:cstheme="minorEastAsia"/>
          <w:color w:val="333333"/>
          <w:sz w:val="28"/>
          <w:szCs w:val="28"/>
          <w:shd w:val="clear" w:color="auto" w:fill="FFFFFF"/>
        </w:rPr>
        <w:t>中税协向地方税协征求AAAA级、AAAAA级税务师事务所复核意见后，提交会长专题会审议，不符合认定标准的降低或取消其等级，符合认定标准的向社会公告。地方税协公告A级、AA级、AAA级税务师事务所名单。</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51" w:name="No59_Z4T18"/>
      <w:bookmarkEnd w:id="51"/>
      <w:r>
        <w:rPr>
          <w:rFonts w:hint="eastAsia" w:asciiTheme="minorEastAsia" w:hAnsiTheme="minorEastAsia" w:cstheme="minorEastAsia"/>
          <w:b/>
          <w:bCs/>
          <w:color w:val="333333"/>
          <w:sz w:val="28"/>
          <w:szCs w:val="28"/>
          <w:shd w:val="clear" w:color="auto" w:fill="FFFFFF"/>
        </w:rPr>
        <w:t>第十八条</w:t>
      </w:r>
      <w:bookmarkStart w:id="52" w:name="No60_Z4T18K1"/>
      <w:bookmarkEnd w:id="52"/>
      <w:r>
        <w:rPr>
          <w:rFonts w:hint="eastAsia" w:asciiTheme="minorEastAsia" w:hAnsiTheme="minorEastAsia" w:cstheme="minorEastAsia"/>
          <w:color w:val="333333"/>
          <w:sz w:val="28"/>
          <w:szCs w:val="28"/>
          <w:shd w:val="clear" w:color="auto" w:fill="FFFFFF"/>
        </w:rPr>
        <w:t>对报送资料或填报信息不实的等级税务师事务所，扣除相关项目的分数；情节严重的，取消其等级及下一年度的等级申请资格并通报。</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53" w:name="No61_Z4T19"/>
      <w:bookmarkEnd w:id="53"/>
      <w:r>
        <w:rPr>
          <w:rFonts w:hint="eastAsia" w:asciiTheme="minorEastAsia" w:hAnsiTheme="minorEastAsia" w:cstheme="minorEastAsia"/>
          <w:b/>
          <w:bCs/>
          <w:color w:val="333333"/>
          <w:sz w:val="28"/>
          <w:szCs w:val="28"/>
          <w:shd w:val="clear" w:color="auto" w:fill="FFFFFF"/>
        </w:rPr>
        <w:t>第十九条</w:t>
      </w:r>
      <w:bookmarkStart w:id="54" w:name="No62_Z4T19K1"/>
      <w:bookmarkEnd w:id="54"/>
      <w:r>
        <w:rPr>
          <w:rFonts w:hint="eastAsia" w:asciiTheme="minorEastAsia" w:hAnsiTheme="minorEastAsia" w:cstheme="minorEastAsia"/>
          <w:color w:val="333333"/>
          <w:sz w:val="28"/>
          <w:szCs w:val="28"/>
          <w:shd w:val="clear" w:color="auto" w:fill="FFFFFF"/>
        </w:rPr>
        <w:t>税务师事务所获得等级后有合并、分立等重大变更事项，涉及等级认定的，中税协和地方税协依据本办法相关程序进行处理。</w:t>
      </w:r>
    </w:p>
    <w:p>
      <w:pPr>
        <w:pStyle w:val="4"/>
        <w:widowControl/>
        <w:shd w:val="clear" w:color="auto" w:fill="FFFFFF"/>
        <w:spacing w:beforeAutospacing="0" w:afterAutospacing="0" w:line="260" w:lineRule="atLeast"/>
        <w:ind w:firstLine="420"/>
        <w:jc w:val="center"/>
        <w:rPr>
          <w:rFonts w:asciiTheme="minorEastAsia" w:hAnsiTheme="minorEastAsia" w:cstheme="minorEastAsia"/>
          <w:color w:val="333333"/>
          <w:sz w:val="28"/>
          <w:szCs w:val="28"/>
        </w:rPr>
      </w:pPr>
      <w:bookmarkStart w:id="55" w:name="No63_Z5"/>
      <w:bookmarkEnd w:id="55"/>
      <w:r>
        <w:rPr>
          <w:rFonts w:hint="eastAsia" w:asciiTheme="minorEastAsia" w:hAnsiTheme="minorEastAsia" w:cstheme="minorEastAsia"/>
          <w:b/>
          <w:bCs/>
          <w:color w:val="333333"/>
          <w:sz w:val="28"/>
          <w:szCs w:val="28"/>
          <w:shd w:val="clear" w:color="auto" w:fill="FFFFFF"/>
        </w:rPr>
        <w:t>第五章 集团化规定</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56" w:name="No64_Z5T20"/>
      <w:bookmarkEnd w:id="56"/>
      <w:r>
        <w:rPr>
          <w:rFonts w:hint="eastAsia" w:asciiTheme="minorEastAsia" w:hAnsiTheme="minorEastAsia" w:cstheme="minorEastAsia"/>
          <w:b/>
          <w:bCs/>
          <w:color w:val="333333"/>
          <w:sz w:val="28"/>
          <w:szCs w:val="28"/>
          <w:shd w:val="clear" w:color="auto" w:fill="FFFFFF"/>
        </w:rPr>
        <w:t>第二十条</w:t>
      </w:r>
      <w:bookmarkStart w:id="57" w:name="No65_Z5T20K1"/>
      <w:bookmarkEnd w:id="57"/>
      <w:r>
        <w:rPr>
          <w:rFonts w:hint="eastAsia" w:asciiTheme="minorEastAsia" w:hAnsiTheme="minorEastAsia" w:cstheme="minorEastAsia"/>
          <w:color w:val="333333"/>
          <w:sz w:val="28"/>
          <w:szCs w:val="28"/>
          <w:shd w:val="clear" w:color="auto" w:fill="FFFFFF"/>
        </w:rPr>
        <w:t>具有母子、总分、母子加总分及其他组织形式的税务师事务所，应符合以下要求：</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58" w:name="No66_T20K1X1"/>
      <w:bookmarkEnd w:id="58"/>
      <w:r>
        <w:rPr>
          <w:rFonts w:hint="eastAsia" w:asciiTheme="minorEastAsia" w:hAnsiTheme="minorEastAsia" w:cstheme="minorEastAsia"/>
          <w:color w:val="333333"/>
          <w:sz w:val="28"/>
          <w:szCs w:val="28"/>
          <w:shd w:val="clear" w:color="auto" w:fill="FFFFFF"/>
        </w:rPr>
        <w:t>（一）税务师事务所总部应对分支机构的股权或表决权比例超过50%，拥有实际控制权；</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59" w:name="No67_T20K1X2"/>
      <w:bookmarkEnd w:id="59"/>
      <w:r>
        <w:rPr>
          <w:rFonts w:hint="eastAsia" w:asciiTheme="minorEastAsia" w:hAnsiTheme="minorEastAsia" w:cstheme="minorEastAsia"/>
          <w:color w:val="333333"/>
          <w:sz w:val="28"/>
          <w:szCs w:val="28"/>
          <w:shd w:val="clear" w:color="auto" w:fill="FFFFFF"/>
        </w:rPr>
        <w:t>（二）分支机构名称字号中应包含总部字号；</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60" w:name="No68_T20K1X3"/>
      <w:bookmarkEnd w:id="60"/>
      <w:r>
        <w:rPr>
          <w:rFonts w:hint="eastAsia" w:asciiTheme="minorEastAsia" w:hAnsiTheme="minorEastAsia" w:cstheme="minorEastAsia"/>
          <w:color w:val="333333"/>
          <w:sz w:val="28"/>
          <w:szCs w:val="28"/>
          <w:shd w:val="clear" w:color="auto" w:fill="FFFFFF"/>
        </w:rPr>
        <w:t>（三）开展一体化工作，实现品牌标识、人事管理、财务政策和分配制度、业务质量控制、信息化建设“五统一”；</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61" w:name="No69_T20K1X4"/>
      <w:bookmarkEnd w:id="61"/>
      <w:r>
        <w:rPr>
          <w:rFonts w:hint="eastAsia" w:asciiTheme="minorEastAsia" w:hAnsiTheme="minorEastAsia" w:cstheme="minorEastAsia"/>
          <w:color w:val="333333"/>
          <w:sz w:val="28"/>
          <w:szCs w:val="28"/>
          <w:shd w:val="clear" w:color="auto" w:fill="FFFFFF"/>
        </w:rPr>
        <w:t>（四）通过合并、重组等形式进行集团化的，原所应在一年内办理注销或变更名称；</w:t>
      </w:r>
    </w:p>
    <w:p>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62" w:name="No70_T20K1X5"/>
      <w:bookmarkEnd w:id="62"/>
      <w:r>
        <w:rPr>
          <w:rFonts w:hint="eastAsia" w:asciiTheme="minorEastAsia" w:hAnsiTheme="minorEastAsia" w:cstheme="minorEastAsia"/>
          <w:color w:val="333333"/>
          <w:sz w:val="28"/>
          <w:szCs w:val="28"/>
          <w:shd w:val="clear" w:color="auto" w:fill="FFFFFF"/>
        </w:rPr>
        <w:t>（五）中税协和地方税协规定的其他要求。</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63" w:name="No71_Z5T21"/>
      <w:bookmarkEnd w:id="63"/>
      <w:r>
        <w:rPr>
          <w:rFonts w:hint="eastAsia" w:asciiTheme="minorEastAsia" w:hAnsiTheme="minorEastAsia" w:cstheme="minorEastAsia"/>
          <w:b/>
          <w:bCs/>
          <w:color w:val="333333"/>
          <w:sz w:val="28"/>
          <w:szCs w:val="28"/>
          <w:shd w:val="clear" w:color="auto" w:fill="FFFFFF"/>
        </w:rPr>
        <w:t>第二十一条</w:t>
      </w:r>
      <w:bookmarkStart w:id="64" w:name="No72_Z5T21K1"/>
      <w:bookmarkEnd w:id="64"/>
      <w:r>
        <w:rPr>
          <w:rFonts w:hint="eastAsia" w:asciiTheme="minorEastAsia" w:hAnsiTheme="minorEastAsia" w:cstheme="minorEastAsia"/>
          <w:color w:val="333333"/>
          <w:sz w:val="28"/>
          <w:szCs w:val="28"/>
          <w:shd w:val="clear" w:color="auto" w:fill="FFFFFF"/>
        </w:rPr>
        <w:t>集团化税务师事务所总部可以合并计算符合本办法第二十条规定的各分支机构的经营规模及业绩。</w:t>
      </w:r>
    </w:p>
    <w:p>
      <w:pPr>
        <w:pStyle w:val="4"/>
        <w:widowControl/>
        <w:shd w:val="clear" w:color="auto" w:fill="FFFFFF"/>
        <w:spacing w:beforeAutospacing="0" w:afterAutospacing="0" w:line="260" w:lineRule="atLeast"/>
        <w:ind w:firstLine="420"/>
        <w:jc w:val="center"/>
        <w:rPr>
          <w:rFonts w:asciiTheme="minorEastAsia" w:hAnsiTheme="minorEastAsia" w:cstheme="minorEastAsia"/>
          <w:color w:val="333333"/>
          <w:sz w:val="28"/>
          <w:szCs w:val="28"/>
        </w:rPr>
      </w:pPr>
      <w:bookmarkStart w:id="65" w:name="No73_Z6"/>
      <w:bookmarkEnd w:id="65"/>
      <w:r>
        <w:rPr>
          <w:rFonts w:hint="eastAsia" w:asciiTheme="minorEastAsia" w:hAnsiTheme="minorEastAsia" w:cstheme="minorEastAsia"/>
          <w:b/>
          <w:bCs/>
          <w:color w:val="333333"/>
          <w:sz w:val="28"/>
          <w:szCs w:val="28"/>
          <w:shd w:val="clear" w:color="auto" w:fill="FFFFFF"/>
        </w:rPr>
        <w:t>第六章 附则</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66" w:name="No74_Z6T22"/>
      <w:bookmarkEnd w:id="66"/>
      <w:r>
        <w:rPr>
          <w:rFonts w:hint="eastAsia" w:asciiTheme="minorEastAsia" w:hAnsiTheme="minorEastAsia" w:cstheme="minorEastAsia"/>
          <w:b/>
          <w:bCs/>
          <w:color w:val="333333"/>
          <w:sz w:val="28"/>
          <w:szCs w:val="28"/>
          <w:shd w:val="clear" w:color="auto" w:fill="FFFFFF"/>
        </w:rPr>
        <w:t>第二十二条</w:t>
      </w:r>
      <w:bookmarkStart w:id="67" w:name="No75_Z6T22K1"/>
      <w:bookmarkEnd w:id="67"/>
      <w:r>
        <w:rPr>
          <w:rFonts w:hint="eastAsia" w:asciiTheme="minorEastAsia" w:hAnsiTheme="minorEastAsia" w:cstheme="minorEastAsia"/>
          <w:color w:val="333333"/>
          <w:sz w:val="28"/>
          <w:szCs w:val="28"/>
          <w:shd w:val="clear" w:color="auto" w:fill="FFFFFF"/>
        </w:rPr>
        <w:t>地方税协可根据本办法制定A级、AA级、AAA级的具体认定办法，报中税协备案。</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68" w:name="No76_Z6T23"/>
      <w:bookmarkEnd w:id="68"/>
      <w:r>
        <w:rPr>
          <w:rFonts w:hint="eastAsia" w:asciiTheme="minorEastAsia" w:hAnsiTheme="minorEastAsia" w:cstheme="minorEastAsia"/>
          <w:b/>
          <w:bCs/>
          <w:color w:val="333333"/>
          <w:sz w:val="28"/>
          <w:szCs w:val="28"/>
          <w:shd w:val="clear" w:color="auto" w:fill="FFFFFF"/>
        </w:rPr>
        <w:t>第二十三条</w:t>
      </w:r>
      <w:bookmarkStart w:id="69" w:name="No77_Z6T23K1"/>
      <w:bookmarkEnd w:id="69"/>
      <w:r>
        <w:rPr>
          <w:rFonts w:hint="eastAsia" w:asciiTheme="minorEastAsia" w:hAnsiTheme="minorEastAsia" w:cstheme="minorEastAsia"/>
          <w:color w:val="333333"/>
          <w:sz w:val="28"/>
          <w:szCs w:val="28"/>
          <w:shd w:val="clear" w:color="auto" w:fill="FFFFFF"/>
        </w:rPr>
        <w:t>中税协和地方税协办理等级认定工作不得向税务师事务所收取费用。从事等级认定的工作人员不得有违反廉洁自律的行为。</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70" w:name="No78_Z6T24"/>
      <w:bookmarkEnd w:id="70"/>
      <w:r>
        <w:rPr>
          <w:rFonts w:hint="eastAsia" w:asciiTheme="minorEastAsia" w:hAnsiTheme="minorEastAsia" w:cstheme="minorEastAsia"/>
          <w:b/>
          <w:bCs/>
          <w:color w:val="333333"/>
          <w:sz w:val="28"/>
          <w:szCs w:val="28"/>
          <w:shd w:val="clear" w:color="auto" w:fill="FFFFFF"/>
        </w:rPr>
        <w:t>第二十四条</w:t>
      </w:r>
      <w:bookmarkStart w:id="71" w:name="No79_Z6T24K1"/>
      <w:bookmarkEnd w:id="71"/>
      <w:r>
        <w:rPr>
          <w:rFonts w:hint="eastAsia" w:asciiTheme="minorEastAsia" w:hAnsiTheme="minorEastAsia" w:cstheme="minorEastAsia"/>
          <w:color w:val="333333"/>
          <w:sz w:val="28"/>
          <w:szCs w:val="28"/>
          <w:shd w:val="clear" w:color="auto" w:fill="FFFFFF"/>
        </w:rPr>
        <w:t>本办法由中税协负责解释。</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72" w:name="No80_Z6T25"/>
      <w:bookmarkEnd w:id="72"/>
      <w:r>
        <w:rPr>
          <w:rFonts w:hint="eastAsia" w:asciiTheme="minorEastAsia" w:hAnsiTheme="minorEastAsia" w:cstheme="minorEastAsia"/>
          <w:b/>
          <w:bCs/>
          <w:color w:val="333333"/>
          <w:sz w:val="28"/>
          <w:szCs w:val="28"/>
          <w:shd w:val="clear" w:color="auto" w:fill="FFFFFF"/>
        </w:rPr>
        <w:t>第二十五条</w:t>
      </w:r>
      <w:bookmarkStart w:id="73" w:name="No81_Z6T25K1"/>
      <w:bookmarkEnd w:id="73"/>
      <w:r>
        <w:rPr>
          <w:rFonts w:hint="eastAsia" w:asciiTheme="minorEastAsia" w:hAnsiTheme="minorEastAsia" w:cstheme="minorEastAsia"/>
          <w:color w:val="333333"/>
          <w:sz w:val="28"/>
          <w:szCs w:val="28"/>
          <w:shd w:val="clear" w:color="auto" w:fill="FFFFFF"/>
        </w:rPr>
        <w:t>本办法自2018年4月17日起施行。</w:t>
      </w:r>
    </w:p>
    <w:p>
      <w:pPr>
        <w:pStyle w:val="4"/>
        <w:widowControl/>
        <w:shd w:val="clear" w:color="auto" w:fill="FFFFFF"/>
        <w:spacing w:beforeAutospacing="0" w:afterAutospacing="0" w:line="260" w:lineRule="atLeast"/>
        <w:ind w:firstLine="562" w:firstLineChars="200"/>
        <w:rPr>
          <w:rStyle w:val="8"/>
          <w:rFonts w:asciiTheme="minorEastAsia" w:hAnsiTheme="minorEastAsia" w:cstheme="minorEastAsia"/>
          <w:b/>
          <w:bCs/>
          <w:color w:val="231ABC"/>
          <w:sz w:val="28"/>
          <w:szCs w:val="28"/>
          <w:u w:val="none"/>
          <w:shd w:val="clear" w:color="auto" w:fill="FFFFFF"/>
        </w:rPr>
      </w:pPr>
      <w:r>
        <w:rPr>
          <w:rFonts w:hint="eastAsia" w:asciiTheme="minorEastAsia" w:hAnsiTheme="minorEastAsia" w:cstheme="minorEastAsia"/>
          <w:b/>
          <w:bCs/>
          <w:color w:val="231ABC"/>
          <w:sz w:val="28"/>
          <w:szCs w:val="28"/>
          <w:shd w:val="clear" w:color="auto" w:fill="FFFFFF"/>
        </w:rPr>
        <w:fldChar w:fldCharType="begin"/>
      </w:r>
      <w:r>
        <w:rPr>
          <w:rFonts w:hint="eastAsia" w:asciiTheme="minorEastAsia" w:hAnsiTheme="minorEastAsia" w:cstheme="minorEastAsia"/>
          <w:b/>
          <w:bCs/>
          <w:color w:val="231ABC"/>
          <w:sz w:val="28"/>
          <w:szCs w:val="28"/>
          <w:shd w:val="clear" w:color="auto" w:fill="FFFFFF"/>
        </w:rPr>
        <w:instrText xml:space="preserve"> HYPERLINK "javascript:void(0)" </w:instrText>
      </w:r>
      <w:r>
        <w:rPr>
          <w:rFonts w:hint="eastAsia" w:asciiTheme="minorEastAsia" w:hAnsiTheme="minorEastAsia" w:cstheme="minorEastAsia"/>
          <w:b/>
          <w:bCs/>
          <w:color w:val="231ABC"/>
          <w:sz w:val="28"/>
          <w:szCs w:val="28"/>
          <w:shd w:val="clear" w:color="auto" w:fill="FFFFFF"/>
        </w:rPr>
        <w:fldChar w:fldCharType="separate"/>
      </w:r>
      <w:r>
        <w:rPr>
          <w:rStyle w:val="8"/>
          <w:rFonts w:hint="eastAsia" w:asciiTheme="minorEastAsia" w:hAnsiTheme="minorEastAsia" w:cstheme="minorEastAsia"/>
          <w:b/>
          <w:bCs/>
          <w:color w:val="231ABC"/>
          <w:sz w:val="28"/>
          <w:szCs w:val="28"/>
          <w:u w:val="none"/>
          <w:shd w:val="clear" w:color="auto" w:fill="FFFFFF"/>
        </w:rPr>
        <w:t>附件：</w:t>
      </w:r>
    </w:p>
    <w:p>
      <w:pPr>
        <w:pStyle w:val="4"/>
        <w:widowControl/>
        <w:shd w:val="clear" w:color="auto" w:fill="FFFFFF"/>
        <w:spacing w:beforeAutospacing="0" w:afterAutospacing="0" w:line="260" w:lineRule="atLeast"/>
        <w:ind w:firstLine="1124" w:firstLineChars="400"/>
        <w:rPr>
          <w:rFonts w:asciiTheme="minorEastAsia" w:hAnsiTheme="minorEastAsia" w:cstheme="minorEastAsia"/>
          <w:b/>
          <w:bCs/>
          <w:color w:val="231ABC"/>
          <w:sz w:val="28"/>
          <w:szCs w:val="28"/>
          <w:shd w:val="clear" w:color="auto" w:fill="FFFFFF"/>
        </w:rPr>
      </w:pPr>
      <w:r>
        <w:rPr>
          <w:rStyle w:val="8"/>
          <w:rFonts w:hint="eastAsia" w:asciiTheme="minorEastAsia" w:hAnsiTheme="minorEastAsia" w:cstheme="minorEastAsia"/>
          <w:b/>
          <w:bCs/>
          <w:color w:val="231ABC"/>
          <w:sz w:val="28"/>
          <w:szCs w:val="28"/>
          <w:u w:val="none"/>
          <w:shd w:val="clear" w:color="auto" w:fill="FFFFFF"/>
        </w:rPr>
        <w:t>1.AAA级、AA级</w:t>
      </w:r>
      <w:r>
        <w:rPr>
          <w:rStyle w:val="8"/>
          <w:rFonts w:hint="eastAsia" w:asciiTheme="minorEastAsia" w:hAnsiTheme="minorEastAsia" w:cstheme="minorEastAsia"/>
          <w:b/>
          <w:bCs/>
          <w:color w:val="231ABC"/>
          <w:sz w:val="28"/>
          <w:szCs w:val="28"/>
          <w:u w:val="none"/>
          <w:shd w:val="clear" w:color="auto" w:fill="FFFFFF"/>
          <w:lang w:eastAsia="zh-CN"/>
        </w:rPr>
        <w:t>、</w:t>
      </w:r>
      <w:r>
        <w:rPr>
          <w:rStyle w:val="8"/>
          <w:rFonts w:hint="eastAsia" w:asciiTheme="minorEastAsia" w:hAnsiTheme="minorEastAsia" w:cstheme="minorEastAsia"/>
          <w:b/>
          <w:bCs/>
          <w:color w:val="231ABC"/>
          <w:sz w:val="28"/>
          <w:szCs w:val="28"/>
          <w:u w:val="none"/>
          <w:shd w:val="clear" w:color="auto" w:fill="FFFFFF"/>
          <w:lang w:val="en-US" w:eastAsia="zh-CN"/>
        </w:rPr>
        <w:t>A级</w:t>
      </w:r>
      <w:r>
        <w:rPr>
          <w:rStyle w:val="8"/>
          <w:rFonts w:hint="eastAsia" w:asciiTheme="minorEastAsia" w:hAnsiTheme="minorEastAsia" w:cstheme="minorEastAsia"/>
          <w:b/>
          <w:bCs/>
          <w:color w:val="231ABC"/>
          <w:sz w:val="28"/>
          <w:szCs w:val="28"/>
          <w:u w:val="none"/>
          <w:shd w:val="clear" w:color="auto" w:fill="FFFFFF"/>
        </w:rPr>
        <w:t>税务师事务所等级认定标准</w:t>
      </w:r>
      <w:r>
        <w:rPr>
          <w:rFonts w:hint="eastAsia" w:asciiTheme="minorEastAsia" w:hAnsiTheme="minorEastAsia" w:cstheme="minorEastAsia"/>
          <w:b/>
          <w:bCs/>
          <w:color w:val="231ABC"/>
          <w:sz w:val="28"/>
          <w:szCs w:val="28"/>
          <w:shd w:val="clear" w:color="auto" w:fill="FFFFFF"/>
        </w:rPr>
        <w:fldChar w:fldCharType="end"/>
      </w:r>
      <w:r>
        <w:rPr>
          <w:rFonts w:hint="eastAsia" w:asciiTheme="minorEastAsia" w:hAnsiTheme="minorEastAsia" w:cstheme="minorEastAsia"/>
          <w:b/>
          <w:bCs/>
          <w:color w:val="231ABC"/>
          <w:sz w:val="28"/>
          <w:szCs w:val="28"/>
          <w:shd w:val="clear" w:color="auto" w:fill="FFFFFF"/>
        </w:rPr>
        <w:t>及评分表</w:t>
      </w:r>
    </w:p>
    <w:p>
      <w:pPr>
        <w:pStyle w:val="4"/>
        <w:widowControl/>
        <w:shd w:val="clear" w:color="auto" w:fill="FFFFFF"/>
        <w:spacing w:beforeAutospacing="0" w:afterAutospacing="0" w:line="260" w:lineRule="atLeast"/>
        <w:ind w:left="840" w:leftChars="400" w:firstLine="281" w:firstLineChars="100"/>
        <w:rPr>
          <w:rFonts w:asciiTheme="minorEastAsia" w:hAnsiTheme="minorEastAsia" w:cstheme="minorEastAsia"/>
          <w:b/>
          <w:bCs/>
          <w:color w:val="231ABC"/>
          <w:sz w:val="28"/>
          <w:szCs w:val="28"/>
          <w:shd w:val="clear" w:color="auto" w:fill="FFFFFF"/>
        </w:rPr>
      </w:pPr>
      <w:r>
        <w:rPr>
          <w:rFonts w:hint="eastAsia" w:asciiTheme="minorEastAsia" w:hAnsiTheme="minorEastAsia" w:cstheme="minorEastAsia"/>
          <w:b/>
          <w:bCs/>
          <w:color w:val="231ABC"/>
          <w:sz w:val="28"/>
          <w:szCs w:val="28"/>
          <w:shd w:val="clear" w:color="auto" w:fill="FFFFFF"/>
        </w:rPr>
        <w:t>2.承诺书（样式）</w:t>
      </w:r>
    </w:p>
    <w:p>
      <w:pPr>
        <w:pStyle w:val="4"/>
        <w:widowControl/>
        <w:shd w:val="clear" w:color="auto" w:fill="FFFFFF"/>
        <w:spacing w:beforeAutospacing="0" w:afterAutospacing="0" w:line="260" w:lineRule="atLeast"/>
        <w:ind w:firstLine="1124" w:firstLineChars="400"/>
        <w:rPr>
          <w:rFonts w:asciiTheme="minorEastAsia" w:hAnsiTheme="minorEastAsia" w:cstheme="minorEastAsia"/>
          <w:b/>
          <w:bCs/>
          <w:color w:val="231ABC"/>
          <w:sz w:val="28"/>
          <w:szCs w:val="28"/>
          <w:shd w:val="clear" w:color="auto" w:fill="FFFFFF"/>
        </w:rPr>
      </w:pPr>
      <w:r>
        <w:rPr>
          <w:rFonts w:hint="eastAsia" w:asciiTheme="minorEastAsia" w:hAnsiTheme="minorEastAsia" w:cstheme="minorEastAsia"/>
          <w:b/>
          <w:bCs/>
          <w:color w:val="231ABC"/>
          <w:sz w:val="28"/>
          <w:szCs w:val="28"/>
          <w:shd w:val="clear" w:color="auto" w:fill="FFFFFF"/>
        </w:rPr>
        <w:t>3.税务师事务所等级认定申请表</w:t>
      </w:r>
    </w:p>
    <w:p>
      <w:pPr>
        <w:pStyle w:val="4"/>
        <w:widowControl/>
        <w:shd w:val="clear" w:color="auto" w:fill="FFFFFF"/>
        <w:spacing w:beforeAutospacing="0" w:afterAutospacing="0" w:line="260" w:lineRule="atLeast"/>
        <w:ind w:firstLine="1124" w:firstLineChars="400"/>
        <w:rPr>
          <w:rFonts w:asciiTheme="minorEastAsia" w:hAnsiTheme="minorEastAsia" w:cstheme="minorEastAsia"/>
          <w:b/>
          <w:bCs/>
          <w:color w:val="231ABC"/>
          <w:sz w:val="28"/>
          <w:szCs w:val="28"/>
          <w:shd w:val="clear" w:color="auto" w:fill="FFFFFF"/>
        </w:rPr>
      </w:pPr>
      <w:r>
        <w:rPr>
          <w:rFonts w:hint="eastAsia" w:asciiTheme="minorEastAsia" w:hAnsiTheme="minorEastAsia" w:cstheme="minorEastAsia"/>
          <w:b/>
          <w:bCs/>
          <w:color w:val="231ABC"/>
          <w:sz w:val="28"/>
          <w:szCs w:val="28"/>
          <w:shd w:val="clear" w:color="auto" w:fill="FFFFFF"/>
          <w:lang w:val="en-US" w:eastAsia="zh-CN"/>
        </w:rPr>
        <w:t>4.</w:t>
      </w:r>
      <w:r>
        <w:rPr>
          <w:rFonts w:hint="eastAsia" w:asciiTheme="minorEastAsia" w:hAnsiTheme="minorEastAsia" w:cstheme="minorEastAsia"/>
          <w:b/>
          <w:bCs/>
          <w:color w:val="231ABC"/>
          <w:sz w:val="28"/>
          <w:szCs w:val="28"/>
          <w:shd w:val="clear" w:color="auto" w:fill="FFFFFF"/>
        </w:rPr>
        <w:t>税务师事务所从业人员信息表</w:t>
      </w:r>
    </w:p>
    <w:p>
      <w:pPr>
        <w:pStyle w:val="4"/>
        <w:widowControl/>
        <w:shd w:val="clear" w:color="auto" w:fill="FFFFFF"/>
        <w:spacing w:beforeAutospacing="0" w:afterAutospacing="0" w:line="260" w:lineRule="atLeast"/>
        <w:ind w:firstLine="1124" w:firstLineChars="400"/>
        <w:rPr>
          <w:rFonts w:asciiTheme="minorEastAsia" w:hAnsiTheme="minorEastAsia" w:cstheme="minorEastAsia"/>
          <w:b/>
          <w:bCs/>
          <w:color w:val="231ABC"/>
          <w:sz w:val="28"/>
          <w:szCs w:val="28"/>
          <w:shd w:val="clear" w:color="auto" w:fill="FFFFFF"/>
        </w:rPr>
      </w:pPr>
      <w:r>
        <w:rPr>
          <w:rFonts w:hint="eastAsia" w:asciiTheme="minorEastAsia" w:hAnsiTheme="minorEastAsia" w:cstheme="minorEastAsia"/>
          <w:b/>
          <w:bCs/>
          <w:color w:val="231ABC"/>
          <w:sz w:val="28"/>
          <w:szCs w:val="28"/>
          <w:shd w:val="clear" w:color="auto" w:fill="FFFFFF"/>
          <w:lang w:val="en-US" w:eastAsia="zh-CN"/>
        </w:rPr>
        <w:t>5.</w:t>
      </w:r>
      <w:r>
        <w:rPr>
          <w:rFonts w:hint="eastAsia" w:asciiTheme="minorEastAsia" w:hAnsiTheme="minorEastAsia" w:cstheme="minorEastAsia"/>
          <w:b/>
          <w:bCs/>
          <w:color w:val="231ABC"/>
          <w:sz w:val="28"/>
          <w:szCs w:val="28"/>
          <w:shd w:val="clear" w:color="auto" w:fill="FFFFFF"/>
        </w:rPr>
        <w:t>党组织建设及开展工作信息表</w:t>
      </w:r>
    </w:p>
    <w:p>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pPr>
        <w:rPr>
          <w:rFonts w:ascii="仿宋" w:hAnsi="仿宋" w:eastAsia="仿宋" w:cs="Times New Roman"/>
          <w:color w:val="000000"/>
          <w:sz w:val="32"/>
          <w:szCs w:val="32"/>
        </w:rPr>
      </w:pPr>
      <w:r>
        <w:rPr>
          <w:rFonts w:hint="eastAsia" w:ascii="仿宋" w:hAnsi="仿宋" w:eastAsia="仿宋" w:cs="Times New Roman"/>
          <w:color w:val="000000"/>
          <w:sz w:val="32"/>
          <w:szCs w:val="32"/>
        </w:rPr>
        <w:t>附件1：</w:t>
      </w:r>
    </w:p>
    <w:p>
      <w:pPr>
        <w:jc w:val="center"/>
        <w:rPr>
          <w:rFonts w:ascii="仿宋" w:hAnsi="仿宋" w:eastAsia="仿宋" w:cs="宋体"/>
          <w:b/>
          <w:bCs/>
          <w:color w:val="000000"/>
          <w:kern w:val="0"/>
          <w:sz w:val="44"/>
          <w:szCs w:val="44"/>
        </w:rPr>
      </w:pPr>
      <w:r>
        <w:rPr>
          <w:rFonts w:hint="eastAsia" w:ascii="仿宋" w:hAnsi="仿宋" w:eastAsia="仿宋" w:cs="宋体"/>
          <w:b/>
          <w:bCs/>
          <w:color w:val="000000"/>
          <w:kern w:val="0"/>
          <w:sz w:val="44"/>
          <w:szCs w:val="44"/>
        </w:rPr>
        <w:t>AAA级、AA级</w:t>
      </w:r>
      <w:r>
        <w:rPr>
          <w:rFonts w:hint="eastAsia" w:ascii="仿宋" w:hAnsi="仿宋" w:eastAsia="仿宋" w:cs="宋体"/>
          <w:b/>
          <w:bCs/>
          <w:color w:val="000000"/>
          <w:kern w:val="0"/>
          <w:sz w:val="44"/>
          <w:szCs w:val="44"/>
          <w:lang w:eastAsia="zh-CN"/>
        </w:rPr>
        <w:t>、</w:t>
      </w:r>
      <w:r>
        <w:rPr>
          <w:rFonts w:hint="eastAsia" w:ascii="仿宋" w:hAnsi="仿宋" w:eastAsia="仿宋" w:cs="宋体"/>
          <w:b/>
          <w:bCs/>
          <w:color w:val="000000"/>
          <w:kern w:val="0"/>
          <w:sz w:val="44"/>
          <w:szCs w:val="44"/>
          <w:lang w:val="en-US" w:eastAsia="zh-CN"/>
        </w:rPr>
        <w:t>A级</w:t>
      </w:r>
      <w:r>
        <w:rPr>
          <w:rFonts w:hint="eastAsia" w:ascii="仿宋" w:hAnsi="仿宋" w:eastAsia="仿宋" w:cs="宋体"/>
          <w:b/>
          <w:bCs/>
          <w:color w:val="000000"/>
          <w:kern w:val="0"/>
          <w:sz w:val="44"/>
          <w:szCs w:val="44"/>
        </w:rPr>
        <w:t>税务师事务所</w:t>
      </w:r>
    </w:p>
    <w:p>
      <w:pPr>
        <w:jc w:val="center"/>
        <w:rPr>
          <w:rFonts w:ascii="仿宋" w:hAnsi="仿宋" w:eastAsia="仿宋" w:cs="宋体"/>
          <w:b/>
          <w:bCs/>
          <w:color w:val="000000"/>
          <w:kern w:val="0"/>
          <w:sz w:val="44"/>
          <w:szCs w:val="44"/>
        </w:rPr>
      </w:pPr>
      <w:r>
        <w:rPr>
          <w:rFonts w:hint="eastAsia" w:ascii="仿宋" w:hAnsi="仿宋" w:eastAsia="仿宋" w:cs="宋体"/>
          <w:b/>
          <w:bCs/>
          <w:color w:val="000000"/>
          <w:kern w:val="0"/>
          <w:sz w:val="44"/>
          <w:szCs w:val="44"/>
        </w:rPr>
        <w:t>等级认定标准及评分表</w:t>
      </w:r>
    </w:p>
    <w:tbl>
      <w:tblPr>
        <w:tblStyle w:val="5"/>
        <w:tblpPr w:leftFromText="180" w:rightFromText="180" w:vertAnchor="text" w:horzAnchor="page" w:tblpXSpec="center" w:tblpY="618"/>
        <w:tblOverlap w:val="never"/>
        <w:tblW w:w="0" w:type="auto"/>
        <w:tblInd w:w="0" w:type="dxa"/>
        <w:tblLayout w:type="autofit"/>
        <w:tblCellMar>
          <w:top w:w="0" w:type="dxa"/>
          <w:left w:w="108" w:type="dxa"/>
          <w:bottom w:w="0" w:type="dxa"/>
          <w:right w:w="108" w:type="dxa"/>
        </w:tblCellMar>
      </w:tblPr>
      <w:tblGrid>
        <w:gridCol w:w="1862"/>
        <w:gridCol w:w="6039"/>
        <w:gridCol w:w="549"/>
        <w:gridCol w:w="463"/>
      </w:tblGrid>
      <w:tr>
        <w:tblPrEx>
          <w:tblCellMar>
            <w:top w:w="0" w:type="dxa"/>
            <w:left w:w="108" w:type="dxa"/>
            <w:bottom w:w="0" w:type="dxa"/>
            <w:right w:w="108"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44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44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评分</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38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分值</w:t>
            </w:r>
          </w:p>
        </w:tc>
        <w:tc>
          <w:tcPr>
            <w:tcW w:w="0" w:type="auto"/>
            <w:tcBorders>
              <w:top w:val="single" w:color="000000" w:sz="4" w:space="0"/>
              <w:left w:val="single" w:color="000000" w:sz="4" w:space="0"/>
              <w:bottom w:val="single" w:color="000000" w:sz="4" w:space="0"/>
              <w:right w:val="single" w:color="auto" w:sz="4" w:space="0"/>
            </w:tcBorders>
            <w:shd w:val="clear" w:color="auto" w:fill="C0C0C0"/>
            <w:vAlign w:val="center"/>
          </w:tcPr>
          <w:p>
            <w:pPr>
              <w:widowControl/>
              <w:spacing w:line="38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得分</w:t>
            </w:r>
          </w:p>
        </w:tc>
      </w:tr>
      <w:tr>
        <w:tblPrEx>
          <w:tblCellMar>
            <w:top w:w="0" w:type="dxa"/>
            <w:left w:w="108" w:type="dxa"/>
            <w:bottom w:w="0" w:type="dxa"/>
            <w:right w:w="108" w:type="dxa"/>
          </w:tblCellMar>
        </w:tblPrEx>
        <w:trPr>
          <w:trHeight w:val="399" w:hRule="atLeast"/>
        </w:trPr>
        <w:tc>
          <w:tcPr>
            <w:tcW w:w="0" w:type="auto"/>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pacing w:line="500" w:lineRule="exact"/>
              <w:jc w:val="left"/>
              <w:rPr>
                <w:rFonts w:ascii="宋体" w:hAnsi="宋体" w:eastAsia="宋体" w:cs="宋体"/>
                <w:b/>
                <w:bCs/>
                <w:color w:val="000000"/>
                <w:szCs w:val="21"/>
              </w:rPr>
            </w:pPr>
            <w:r>
              <w:rPr>
                <w:rFonts w:hint="eastAsia" w:ascii="宋体" w:hAnsi="宋体" w:eastAsia="宋体" w:cs="宋体"/>
                <w:b/>
                <w:bCs/>
                <w:color w:val="000000"/>
                <w:kern w:val="0"/>
                <w:szCs w:val="21"/>
              </w:rPr>
              <w:t>一、执业资质（20分）</w:t>
            </w:r>
          </w:p>
        </w:tc>
      </w:tr>
      <w:tr>
        <w:tblPrEx>
          <w:tblCellMar>
            <w:top w:w="0" w:type="dxa"/>
            <w:left w:w="108" w:type="dxa"/>
            <w:bottom w:w="0" w:type="dxa"/>
            <w:right w:w="108" w:type="dxa"/>
          </w:tblCellMar>
        </w:tblPrEx>
        <w:trPr>
          <w:trHeight w:val="9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1.自主经营情况。（3分）</w:t>
            </w:r>
          </w:p>
        </w:tc>
        <w:tc>
          <w:tcPr>
            <w:tcW w:w="0" w:type="auto"/>
            <w:tcBorders>
              <w:top w:val="single" w:color="000000" w:sz="4" w:space="0"/>
              <w:left w:val="single" w:color="000000" w:sz="4" w:space="0"/>
              <w:right w:val="single" w:color="000000" w:sz="4" w:space="0"/>
            </w:tcBorders>
            <w:shd w:val="clear" w:color="auto" w:fill="auto"/>
            <w:vAlign w:val="center"/>
          </w:tcPr>
          <w:p>
            <w:pPr>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自主经营，与税务等行政机关无不正当经济利益往来的，得3分。否则取消认定资格。</w:t>
            </w:r>
          </w:p>
        </w:tc>
        <w:tc>
          <w:tcPr>
            <w:tcW w:w="0" w:type="auto"/>
            <w:tcBorders>
              <w:top w:val="single" w:color="000000" w:sz="4" w:space="0"/>
              <w:left w:val="single" w:color="000000" w:sz="4" w:space="0"/>
              <w:right w:val="single" w:color="000000" w:sz="4" w:space="0"/>
            </w:tcBorders>
            <w:shd w:val="clear" w:color="auto" w:fill="auto"/>
            <w:vAlign w:val="center"/>
          </w:tcPr>
          <w:p>
            <w:pPr>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0" w:type="auto"/>
            <w:tcBorders>
              <w:top w:val="single" w:color="000000" w:sz="4" w:space="0"/>
              <w:left w:val="single" w:color="000000" w:sz="4" w:space="0"/>
              <w:right w:val="single" w:color="auto"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944" w:hRule="atLeast"/>
        </w:trPr>
        <w:tc>
          <w:tcPr>
            <w:tcW w:w="0" w:type="auto"/>
            <w:vMerge w:val="restart"/>
            <w:tcBorders>
              <w:top w:val="single" w:color="000000" w:sz="4" w:space="0"/>
              <w:left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2.行政登记、入会登记、会员义务、行业自律检查情况。（5分）</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行政登记、登记入会，得2分。否则取消认定资格。</w:t>
            </w:r>
          </w:p>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为无证照涉税服务机构提供挂靠的，取消认定资格。</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63" w:hRule="atLeast"/>
        </w:trPr>
        <w:tc>
          <w:tcPr>
            <w:tcW w:w="0" w:type="auto"/>
            <w:vMerge w:val="continue"/>
            <w:tcBorders>
              <w:left w:val="single" w:color="000000" w:sz="4" w:space="0"/>
              <w:right w:val="single" w:color="000000" w:sz="4" w:space="0"/>
            </w:tcBorders>
            <w:shd w:val="clear" w:color="auto" w:fill="auto"/>
            <w:vAlign w:val="center"/>
          </w:tcPr>
          <w:p>
            <w:pPr>
              <w:spacing w:line="500" w:lineRule="exact"/>
              <w:jc w:val="left"/>
              <w:textAlignment w:val="center"/>
              <w:rPr>
                <w:rFonts w:ascii="宋体" w:hAnsi="宋体" w:eastAsia="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履行会员义务，按时交纳会费的，得2分。否则取消认定资格。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63" w:hRule="atLeast"/>
        </w:trPr>
        <w:tc>
          <w:tcPr>
            <w:tcW w:w="0" w:type="auto"/>
            <w:vMerge w:val="continue"/>
            <w:tcBorders>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年度自律检查合格，得1分。不合格的，取消认定资格。</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0" w:type="auto"/>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904" w:hRule="atLeast"/>
        </w:trPr>
        <w:tc>
          <w:tcPr>
            <w:tcW w:w="0" w:type="auto"/>
            <w:vMerge w:val="restart"/>
            <w:tcBorders>
              <w:top w:val="single" w:color="000000" w:sz="4" w:space="0"/>
              <w:left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3.持证执业情况。（4分）</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税务师事务所合伙人或者股东中税务师占比高于百分之五十的，得1分。否则取消认定资格。</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0" w:type="auto"/>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592" w:hRule="atLeast"/>
        </w:trPr>
        <w:tc>
          <w:tcPr>
            <w:tcW w:w="0" w:type="auto"/>
            <w:vMerge w:val="continue"/>
            <w:tcBorders>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kern w:val="0"/>
                <w:szCs w:val="21"/>
              </w:rPr>
            </w:pP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税务师事务所统一管理税务师、注册会计师、律师（以下简称“三师”）资格证、社保的，得3分。不一致的，1人扣0.5分，扣完为止。 </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spacing w:line="5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0" w:type="auto"/>
            <w:tcBorders>
              <w:top w:val="single" w:color="auto" w:sz="4" w:space="0"/>
              <w:left w:val="single" w:color="000000" w:sz="4" w:space="0"/>
              <w:bottom w:val="single" w:color="000000" w:sz="4" w:space="0"/>
              <w:right w:val="single" w:color="auto" w:sz="4" w:space="0"/>
            </w:tcBorders>
            <w:shd w:val="clear" w:color="auto" w:fill="auto"/>
            <w:vAlign w:val="center"/>
          </w:tcPr>
          <w:p>
            <w:pPr>
              <w:spacing w:line="500" w:lineRule="exact"/>
              <w:jc w:val="center"/>
              <w:textAlignment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75" w:hRule="atLeast"/>
        </w:trPr>
        <w:tc>
          <w:tcPr>
            <w:tcW w:w="0" w:type="auto"/>
            <w:vMerge w:val="restart"/>
            <w:tcBorders>
              <w:top w:val="single" w:color="000000" w:sz="4" w:space="0"/>
              <w:left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4.依法诚信经营情况。（3分）</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从业人员遵纪守法的，得2分。因违法违规经营或执业受到行政处罚的，扣2分。情节严重的，取消认定资格。</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750" w:hRule="atLeast"/>
        </w:trPr>
        <w:tc>
          <w:tcPr>
            <w:tcW w:w="0" w:type="auto"/>
            <w:vMerge w:val="continue"/>
            <w:tcBorders>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kern w:val="0"/>
                <w:szCs w:val="21"/>
              </w:rPr>
            </w:pP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遵守行约行规的，得1分。违规执业被中税协或地方税协惩戒的，扣1分。情节严重的，取消认定资格。</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spacing w:line="5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spacing w:line="500" w:lineRule="exact"/>
              <w:jc w:val="center"/>
              <w:textAlignment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5.税务师事务所纳税信用等级与涉税专业服务机构信用等级情况（5分）</w:t>
            </w:r>
          </w:p>
        </w:tc>
        <w:tc>
          <w:tcPr>
            <w:tcW w:w="0" w:type="auto"/>
            <w:tcBorders>
              <w:top w:val="single" w:color="000000" w:sz="4" w:space="0"/>
              <w:left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申请</w:t>
            </w:r>
            <w:r>
              <w:rPr>
                <w:rFonts w:hint="eastAsia" w:ascii="宋体" w:hAnsi="宋体" w:eastAsia="宋体" w:cs="宋体"/>
                <w:color w:val="000000"/>
                <w:kern w:val="0"/>
                <w:szCs w:val="21"/>
                <w:lang w:val="en-US" w:eastAsia="zh-CN"/>
              </w:rPr>
              <w:t>3A</w:t>
            </w:r>
            <w:r>
              <w:rPr>
                <w:rFonts w:hint="eastAsia" w:ascii="宋体" w:hAnsi="宋体" w:eastAsia="宋体" w:cs="宋体"/>
                <w:color w:val="000000"/>
                <w:kern w:val="0"/>
                <w:szCs w:val="21"/>
              </w:rPr>
              <w:t>级</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A级</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A级</w:t>
            </w:r>
            <w:r>
              <w:rPr>
                <w:rFonts w:hint="eastAsia" w:ascii="宋体" w:hAnsi="宋体" w:eastAsia="宋体" w:cs="宋体"/>
                <w:color w:val="000000"/>
                <w:kern w:val="0"/>
                <w:szCs w:val="21"/>
              </w:rPr>
              <w:t>税务师事务所的纳税信用等级为A级、涉税专业服务机构信用等级为TSC5级，得5分。B级</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TSC</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以下取消认定资格。</w:t>
            </w:r>
          </w:p>
        </w:tc>
        <w:tc>
          <w:tcPr>
            <w:tcW w:w="0" w:type="auto"/>
            <w:tcBorders>
              <w:top w:val="single" w:color="auto" w:sz="4" w:space="0"/>
              <w:left w:val="single" w:color="auto" w:sz="4" w:space="0"/>
              <w:right w:val="single" w:color="auto" w:sz="4" w:space="0"/>
            </w:tcBorders>
            <w:shd w:val="clear" w:color="auto" w:fill="auto"/>
            <w:vAlign w:val="center"/>
          </w:tcPr>
          <w:p>
            <w:pPr>
              <w:spacing w:line="5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500" w:lineRule="exact"/>
              <w:jc w:val="center"/>
              <w:textAlignment w:val="center"/>
              <w:rPr>
                <w:rFonts w:ascii="宋体" w:hAnsi="宋体" w:eastAsia="宋体" w:cs="宋体"/>
                <w:b/>
                <w:bCs/>
                <w:color w:val="000000"/>
                <w:szCs w:val="21"/>
              </w:rPr>
            </w:pPr>
          </w:p>
        </w:tc>
      </w:tr>
      <w:tr>
        <w:tblPrEx>
          <w:tblCellMar>
            <w:top w:w="0" w:type="dxa"/>
            <w:left w:w="108" w:type="dxa"/>
            <w:bottom w:w="0" w:type="dxa"/>
            <w:right w:w="108" w:type="dxa"/>
          </w:tblCellMar>
        </w:tblPrEx>
        <w:trPr>
          <w:trHeight w:val="600" w:hRule="atLeast"/>
        </w:trPr>
        <w:tc>
          <w:tcPr>
            <w:tcW w:w="0" w:type="auto"/>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pacing w:line="500" w:lineRule="exact"/>
              <w:jc w:val="left"/>
              <w:rPr>
                <w:rFonts w:ascii="宋体" w:hAnsi="宋体" w:eastAsia="宋体" w:cs="宋体"/>
                <w:color w:val="000000"/>
                <w:szCs w:val="21"/>
              </w:rPr>
            </w:pPr>
            <w:r>
              <w:rPr>
                <w:rFonts w:hint="eastAsia" w:ascii="宋体" w:hAnsi="宋体" w:eastAsia="宋体" w:cs="宋体"/>
                <w:b/>
                <w:bCs/>
                <w:color w:val="000000"/>
                <w:kern w:val="0"/>
                <w:szCs w:val="21"/>
              </w:rPr>
              <w:t>二、经营业绩（10分）</w:t>
            </w:r>
          </w:p>
        </w:tc>
      </w:tr>
      <w:tr>
        <w:tblPrEx>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1.“三师”</w:t>
            </w:r>
            <w:r>
              <w:rPr>
                <w:rFonts w:hint="eastAsia" w:ascii="宋体" w:hAnsi="宋体" w:eastAsia="宋体" w:cs="宋体"/>
                <w:color w:val="000000"/>
                <w:szCs w:val="21"/>
              </w:rPr>
              <w:t>人数情况。（3分）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（一）</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A级税务师事务所：“三师”人数不低于</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人。</w:t>
            </w:r>
          </w:p>
          <w:p>
            <w:pPr>
              <w:widowControl/>
              <w:spacing w:line="500" w:lineRule="exac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（二）</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A级税务师事务所：“三师”人数不低于5人。</w:t>
            </w:r>
          </w:p>
          <w:p>
            <w:pPr>
              <w:widowControl/>
              <w:spacing w:line="500" w:lineRule="exac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三</w:t>
            </w:r>
            <w:r>
              <w:rPr>
                <w:rFonts w:hint="eastAsia" w:ascii="宋体" w:hAnsi="宋体" w:eastAsia="宋体" w:cs="宋体"/>
                <w:color w:val="000000"/>
                <w:kern w:val="0"/>
                <w:szCs w:val="21"/>
              </w:rPr>
              <w:t>）A级税务师事务所：“三师”人数不低于</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人</w:t>
            </w:r>
          </w:p>
          <w:p>
            <w:pPr>
              <w:widowControl/>
              <w:spacing w:line="50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符合条件的，得3分。不符合条件的，取消认定资格。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2.年度经营收入情况。（5分）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（一）</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A级税务师事务所：年度经营收入</w:t>
            </w:r>
            <w:r>
              <w:rPr>
                <w:rFonts w:hint="eastAsia" w:ascii="宋体" w:hAnsi="宋体" w:eastAsia="宋体" w:cs="宋体"/>
                <w:color w:val="000000"/>
                <w:kern w:val="0"/>
                <w:szCs w:val="21"/>
                <w:lang w:val="en-US" w:eastAsia="zh-CN"/>
              </w:rPr>
              <w:t>750万元</w:t>
            </w:r>
            <w:r>
              <w:rPr>
                <w:rFonts w:hint="eastAsia" w:ascii="宋体" w:hAnsi="宋体" w:eastAsia="宋体" w:cs="宋体"/>
                <w:color w:val="000000"/>
                <w:kern w:val="0"/>
                <w:szCs w:val="21"/>
              </w:rPr>
              <w:t>（含）以上。</w:t>
            </w:r>
          </w:p>
          <w:p>
            <w:pPr>
              <w:widowControl/>
              <w:spacing w:line="50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（二）</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A级税务师事务所：年度经营收入</w:t>
            </w:r>
            <w:r>
              <w:rPr>
                <w:rFonts w:hint="eastAsia" w:ascii="宋体" w:hAnsi="宋体" w:eastAsia="宋体" w:cs="宋体"/>
                <w:color w:val="000000"/>
                <w:kern w:val="0"/>
                <w:szCs w:val="21"/>
                <w:lang w:val="en-US" w:eastAsia="zh-CN"/>
              </w:rPr>
              <w:t>450万元</w:t>
            </w:r>
            <w:r>
              <w:rPr>
                <w:rFonts w:hint="eastAsia" w:ascii="宋体" w:hAnsi="宋体" w:eastAsia="宋体" w:cs="宋体"/>
                <w:color w:val="000000"/>
                <w:kern w:val="0"/>
                <w:szCs w:val="21"/>
              </w:rPr>
              <w:t>（含）以上。（三）A级税务师事务所：年度经营收入</w:t>
            </w:r>
            <w:r>
              <w:rPr>
                <w:rFonts w:hint="eastAsia" w:ascii="宋体" w:hAnsi="宋体" w:eastAsia="宋体" w:cs="宋体"/>
                <w:color w:val="000000"/>
                <w:kern w:val="0"/>
                <w:szCs w:val="21"/>
                <w:lang w:val="en-US" w:eastAsia="zh-CN"/>
              </w:rPr>
              <w:t>100</w:t>
            </w:r>
            <w:r>
              <w:rPr>
                <w:rFonts w:hint="eastAsia" w:ascii="宋体" w:hAnsi="宋体" w:eastAsia="宋体" w:cs="宋体"/>
                <w:color w:val="000000"/>
                <w:kern w:val="0"/>
                <w:szCs w:val="21"/>
              </w:rPr>
              <w:t>万元（含）以上。</w:t>
            </w:r>
          </w:p>
          <w:p>
            <w:pPr>
              <w:widowControl/>
              <w:spacing w:line="50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符合条件的，得5分。不符合条件的，取消认定资格。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3.年度盈亏情况。（2分）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上一年度利润总额或纳税调整后所得大于零，得2分。否则，取消认定资格。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600" w:hRule="atLeast"/>
        </w:trPr>
        <w:tc>
          <w:tcPr>
            <w:tcW w:w="0" w:type="auto"/>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b/>
                <w:bCs/>
                <w:color w:val="000000"/>
                <w:kern w:val="0"/>
                <w:szCs w:val="21"/>
              </w:rPr>
              <w:t xml:space="preserve">三、执业规范（35分） </w:t>
            </w:r>
          </w:p>
        </w:tc>
      </w:tr>
      <w:tr>
        <w:tblPrEx>
          <w:tblCellMar>
            <w:top w:w="0" w:type="dxa"/>
            <w:left w:w="108" w:type="dxa"/>
            <w:bottom w:w="0" w:type="dxa"/>
            <w:right w:w="108" w:type="dxa"/>
          </w:tblCellMar>
        </w:tblPrEx>
        <w:trPr>
          <w:trHeight w:val="1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1.职业道德规范情况。（10分）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提供涉税专业服务时，能恪守独立、客观、公正、诚信原则，遵守职业道德、职业纪律、职业判断、专业胜任能力的，得10分。不符合诚信、独立性、客观公正、专业胜任能力、保密义务、自律管理等规范的，每项扣2分，扣完为止。有下列情况的，取消认定资格：</w:t>
            </w:r>
          </w:p>
          <w:p>
            <w:pPr>
              <w:widowControl/>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1.有违反税收法律、行政法规，伪造证据或出具虚假报告，造成委托人未缴或者少缴税款的；</w:t>
            </w:r>
          </w:p>
          <w:p>
            <w:pPr>
              <w:widowControl/>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2.承揽业务中，有隐瞒、欺诈、串通、回扣等不正常竞争行为的；</w:t>
            </w:r>
          </w:p>
          <w:p>
            <w:pPr>
              <w:widowControl/>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3.向税务机关工作人员行贿或者指使、诱导委托人行贿的；</w:t>
            </w:r>
          </w:p>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4. 使用不正当手段，恶意压低业务收费， 对行业形象造成不良影响的。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2.质量控制规范情况。（15分）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szCs w:val="21"/>
              </w:rPr>
              <w:t>按照法律法规和涉税服务业务规范提供涉税专业服务，服务过程能满足业务约定书需要，服务成果要维护国家税收利益和纳税合法权益，税务师事务所信用评价达到监管部门的要求。税务师事务所能根据规模和业务特征建立质量控制制度，形成以业务质量控制为核发的全面质量控制体系。包括业务承接和保持、业务委派、业务实施、业务复核、业务监控、业务工作底稿等质量控制。各项符合规范的，得15分。有不符合规范的，一项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1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3.程序规范情况。（10分）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szCs w:val="21"/>
              </w:rPr>
              <w:t>税务师事务所及其从业人员提供涉税专业服务时的程序应符合规范，包括业务承接程序、业务委派程序、业务计划程序、业务实施程序、业务记录程序、业务成果程序、业务档案程序等。所涉业务程序规范的，得10分。有不符合规范的，一项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495" w:hRule="atLeast"/>
        </w:trPr>
        <w:tc>
          <w:tcPr>
            <w:tcW w:w="0" w:type="auto"/>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b/>
                <w:bCs/>
                <w:color w:val="000000"/>
                <w:kern w:val="0"/>
                <w:szCs w:val="21"/>
              </w:rPr>
              <w:t xml:space="preserve">四、内部治理（25分） </w:t>
            </w:r>
          </w:p>
        </w:tc>
      </w:tr>
      <w:tr>
        <w:tblPrEx>
          <w:tblCellMar>
            <w:top w:w="0" w:type="dxa"/>
            <w:left w:w="108" w:type="dxa"/>
            <w:bottom w:w="0" w:type="dxa"/>
            <w:right w:w="108" w:type="dxa"/>
          </w:tblCellMar>
        </w:tblPrEx>
        <w:trPr>
          <w:trHeight w:val="8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1.人力资源管理情况。（4分）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人力资源管理制度健全且执行较好的，得2分。制度不健全、执行不好的，酌情扣分。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ascii="宋体" w:hAnsi="宋体" w:eastAsia="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税务师事务所与全部员工签订劳动合同，且统一缴纳社会保险的，得2分。不符合的，有1人扣1分，扣完为止。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2.财务管理情况；（4分）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财务管理制度健全，财务手续规范，得2分。不规范的，扣2分。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ascii="宋体" w:hAnsi="宋体" w:eastAsia="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会计核算真实、完整，依法纳税，得2分。虚报或隐藏收入、人为调整利润或者少交税款等情况，扣2分。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3.风险控制情况。（5分）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建立风险控制机制的，得3分。不符合规范的，扣3分。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ascii="宋体" w:hAnsi="宋体" w:eastAsia="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提取职业风险基金或者购买职业责任保险的，得2分。否则扣2分。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FF"/>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FF"/>
                <w:szCs w:val="21"/>
              </w:rPr>
            </w:pPr>
          </w:p>
        </w:tc>
      </w:tr>
      <w:tr>
        <w:tblPrEx>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4.业务培训情况。（4分）</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业务培训制度健全且有效执行的，得1分。不合规范的，扣1分。</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500" w:lineRule="exact"/>
              <w:jc w:val="left"/>
              <w:rPr>
                <w:rFonts w:ascii="宋体" w:hAnsi="宋体" w:eastAsia="宋体" w:cs="宋体"/>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“三师”按规定完成继续教育的，得3分。未按规定完成的，1人扣1分，扣完为止。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5.档案管理情况。（3分）</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业务档案、人事档案管理制度健全，管理规范的，得3分。不符合规范的，扣3分。</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6.税务师事务所一体化建设情况。（5分）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内部管理制度、品牌、人事管理、财务政策和分配制度、业务质量控制、信息化建设等一体化。有不符合的，1项扣1分，扣完为止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600" w:hRule="atLeast"/>
        </w:trPr>
        <w:tc>
          <w:tcPr>
            <w:tcW w:w="0" w:type="auto"/>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pacing w:line="500" w:lineRule="exact"/>
              <w:jc w:val="left"/>
              <w:rPr>
                <w:rFonts w:ascii="宋体" w:hAnsi="宋体" w:eastAsia="宋体" w:cs="宋体"/>
                <w:color w:val="000000"/>
                <w:szCs w:val="21"/>
              </w:rPr>
            </w:pPr>
            <w:r>
              <w:rPr>
                <w:rFonts w:hint="eastAsia" w:ascii="宋体" w:hAnsi="宋体" w:eastAsia="宋体" w:cs="宋体"/>
                <w:b/>
                <w:bCs/>
                <w:color w:val="000000"/>
                <w:kern w:val="0"/>
                <w:szCs w:val="21"/>
              </w:rPr>
              <w:t>五、党建工作（10分）</w:t>
            </w:r>
          </w:p>
        </w:tc>
      </w:tr>
      <w:tr>
        <w:tblPrEx>
          <w:tblCellMar>
            <w:top w:w="0" w:type="dxa"/>
            <w:left w:w="108" w:type="dxa"/>
            <w:bottom w:w="0" w:type="dxa"/>
            <w:right w:w="108" w:type="dxa"/>
          </w:tblCellMar>
        </w:tblPrEx>
        <w:trPr>
          <w:trHeight w:val="166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1.党支部设立和党务工作者情况。（3分）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建立独立党支部或联合党支部的，得2分；符合设立党支部条件而未设立或加入联合党支部的，扣2分。</w:t>
            </w:r>
          </w:p>
          <w:p>
            <w:pPr>
              <w:widowControl/>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（注：正在申请设立党支部的，在上专题会审议前完成，不扣分。）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ascii="宋体" w:hAnsi="宋体" w:eastAsia="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党建写入公司章程或合伙人协议中的，得0.5分，否则扣0.5分。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FF"/>
                <w:szCs w:val="21"/>
              </w:rPr>
            </w:pPr>
            <w:r>
              <w:rPr>
                <w:rFonts w:hint="eastAsia" w:ascii="宋体" w:hAnsi="宋体" w:eastAsia="宋体" w:cs="宋体"/>
                <w:color w:val="000000"/>
                <w:kern w:val="0"/>
                <w:szCs w:val="21"/>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FF"/>
                <w:szCs w:val="21"/>
              </w:rPr>
            </w:pPr>
          </w:p>
        </w:tc>
      </w:tr>
      <w:tr>
        <w:tblPrEx>
          <w:tblCellMar>
            <w:top w:w="0" w:type="dxa"/>
            <w:left w:w="108" w:type="dxa"/>
            <w:bottom w:w="0" w:type="dxa"/>
            <w:right w:w="108" w:type="dxa"/>
          </w:tblCellMar>
        </w:tblPrEx>
        <w:trPr>
          <w:trHeight w:val="5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ascii="宋体" w:hAnsi="宋体" w:eastAsia="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设有专门党务工作者且正常开展工作的，得0.5分；否则扣0.5分。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2.“六有”标准化建设情况。（2分）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有场所、有设施、有标志、有党旗、有书报、有制度的，得2分，缺一项扣0.5分，扣完为止。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21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3.支部发挥政治引领作用，党员发挥先锋模范作用情况。（2分）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支部发挥政治引领作用，党员发挥先锋模范作用的，得2分。未按要求开展“三会一课”的，扣0.5分；未召开组织生活会、民主生活会的，扣0.5分；党支部分工不明确，未建立组织关系转接、党费收缴、年度工作计划、年终工作总结等台账的，扣0.5分；党员未做到“亮身份、当先锋、作表率”的，扣0.5分。</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4.党建统战工作受表彰情况。（1分）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受到全国表彰的，得1分；受到省市级及以下表彰的，得0.5分。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5.党代表、人大代表、政协委员和群团工作情况。（1分）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有党代表或人大代表或政协委员或设立工会、共青团、妇委会组织的，得1分。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6.统战和同心服务团工作情况（1分）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宋体" w:hAnsi="宋体" w:eastAsia="宋体" w:cs="宋体"/>
                <w:color w:val="0000FF"/>
                <w:szCs w:val="21"/>
              </w:rPr>
            </w:pPr>
            <w:r>
              <w:rPr>
                <w:rFonts w:hint="eastAsia" w:ascii="宋体" w:hAnsi="宋体" w:eastAsia="宋体" w:cs="宋体"/>
                <w:color w:val="000000"/>
                <w:kern w:val="0"/>
                <w:szCs w:val="21"/>
              </w:rPr>
              <w:t>加入同心服务团或新社会阶层的，得0.5分；参加公益活动的，得0.5分。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宋体" w:hAnsi="宋体" w:eastAsia="宋体" w:cs="宋体"/>
                <w:color w:val="000000"/>
                <w:szCs w:val="21"/>
              </w:rPr>
            </w:pPr>
          </w:p>
        </w:tc>
      </w:tr>
    </w:tbl>
    <w:p>
      <w:pPr>
        <w:rPr>
          <w:rFonts w:ascii="宋体" w:hAnsi="宋体" w:eastAsia="宋体" w:cs="Times New Roman"/>
          <w:color w:val="000000"/>
          <w:sz w:val="30"/>
          <w:szCs w:val="30"/>
        </w:rPr>
        <w:sectPr>
          <w:headerReference r:id="rId4" w:type="first"/>
          <w:footerReference r:id="rId7" w:type="first"/>
          <w:footerReference r:id="rId5" w:type="default"/>
          <w:headerReference r:id="rId3" w:type="even"/>
          <w:footerReference r:id="rId6" w:type="even"/>
          <w:pgSz w:w="11906" w:h="16838"/>
          <w:pgMar w:top="1383" w:right="1576" w:bottom="1383" w:left="1633" w:header="851" w:footer="992" w:gutter="0"/>
          <w:cols w:space="0" w:num="1"/>
          <w:docGrid w:type="lines" w:linePitch="312" w:charSpace="0"/>
        </w:sectPr>
      </w:pPr>
    </w:p>
    <w:p>
      <w:pPr>
        <w:rPr>
          <w:rFonts w:ascii="仿宋" w:hAnsi="仿宋" w:eastAsia="仿宋" w:cs="Times New Roman"/>
          <w:color w:val="000000"/>
          <w:sz w:val="32"/>
          <w:szCs w:val="32"/>
        </w:rPr>
      </w:pPr>
      <w:r>
        <w:rPr>
          <w:rFonts w:hint="eastAsia" w:ascii="仿宋" w:hAnsi="仿宋" w:eastAsia="仿宋" w:cs="Times New Roman"/>
          <w:color w:val="000000"/>
          <w:sz w:val="32"/>
          <w:szCs w:val="32"/>
        </w:rPr>
        <w:t>附件2</w:t>
      </w:r>
    </w:p>
    <w:p>
      <w:pPr>
        <w:jc w:val="center"/>
        <w:rPr>
          <w:rFonts w:ascii="宋体" w:hAnsi="宋体" w:eastAsia="宋体" w:cs="Times New Roman"/>
          <w:b/>
          <w:sz w:val="44"/>
          <w:szCs w:val="44"/>
        </w:rPr>
      </w:pPr>
    </w:p>
    <w:p>
      <w:pPr>
        <w:jc w:val="center"/>
        <w:rPr>
          <w:rFonts w:ascii="仿宋" w:hAnsi="仿宋" w:eastAsia="仿宋" w:cs="Times New Roman"/>
          <w:b/>
          <w:sz w:val="44"/>
          <w:szCs w:val="44"/>
        </w:rPr>
      </w:pPr>
      <w:r>
        <w:rPr>
          <w:rFonts w:hint="eastAsia" w:ascii="仿宋" w:hAnsi="仿宋" w:eastAsia="仿宋" w:cs="Times New Roman"/>
          <w:b/>
          <w:sz w:val="44"/>
          <w:szCs w:val="44"/>
        </w:rPr>
        <w:t>承 诺 书</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我是*</w:t>
      </w:r>
      <w:r>
        <w:rPr>
          <w:rFonts w:ascii="仿宋" w:hAnsi="仿宋" w:eastAsia="仿宋" w:cs="Times New Roman"/>
          <w:sz w:val="32"/>
          <w:szCs w:val="32"/>
        </w:rPr>
        <w:t>***</w:t>
      </w:r>
      <w:r>
        <w:rPr>
          <w:rFonts w:hint="eastAsia" w:ascii="仿宋" w:hAnsi="仿宋" w:eastAsia="仿宋" w:cs="Times New Roman"/>
          <w:sz w:val="32"/>
          <w:szCs w:val="32"/>
        </w:rPr>
        <w:t>税务师事务所法定代表人*</w:t>
      </w:r>
      <w:r>
        <w:rPr>
          <w:rFonts w:ascii="仿宋" w:hAnsi="仿宋" w:eastAsia="仿宋" w:cs="Times New Roman"/>
          <w:sz w:val="32"/>
          <w:szCs w:val="32"/>
        </w:rPr>
        <w:t>**</w:t>
      </w:r>
      <w:r>
        <w:rPr>
          <w:rFonts w:hint="eastAsia" w:ascii="仿宋" w:hAnsi="仿宋" w:eastAsia="仿宋" w:cs="Times New Roman"/>
          <w:sz w:val="32"/>
          <w:szCs w:val="32"/>
        </w:rPr>
        <w:t>，居民身份号*</w:t>
      </w:r>
      <w:r>
        <w:rPr>
          <w:rFonts w:ascii="仿宋" w:hAnsi="仿宋" w:eastAsia="仿宋" w:cs="Times New Roman"/>
          <w:sz w:val="32"/>
          <w:szCs w:val="32"/>
        </w:rPr>
        <w:t>***</w:t>
      </w:r>
      <w:r>
        <w:rPr>
          <w:rFonts w:hint="eastAsia" w:ascii="仿宋" w:hAnsi="仿宋" w:eastAsia="仿宋" w:cs="Times New Roman"/>
          <w:sz w:val="32"/>
          <w:szCs w:val="32"/>
        </w:rPr>
        <w:t>，为配合本所做好等级认定申报工作，我承诺：我所提交的书面材料真实有效，所有内容均经我本人审核确认，如有故意伪造、弄虚作假，愿承担一切责任。</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承诺人：*</w:t>
      </w:r>
      <w:r>
        <w:rPr>
          <w:rFonts w:ascii="仿宋" w:hAnsi="仿宋" w:eastAsia="仿宋" w:cs="Times New Roman"/>
          <w:sz w:val="32"/>
          <w:szCs w:val="32"/>
        </w:rPr>
        <w:t>****</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5760" w:firstLineChars="1800"/>
        <w:rPr>
          <w:rFonts w:ascii="仿宋" w:hAnsi="仿宋" w:eastAsia="仿宋" w:cs="Times New Roman"/>
          <w:sz w:val="32"/>
          <w:szCs w:val="32"/>
        </w:rPr>
      </w:pPr>
      <w:r>
        <w:rPr>
          <w:rFonts w:hint="eastAsia" w:ascii="仿宋" w:hAnsi="仿宋" w:eastAsia="仿宋" w:cs="Times New Roman"/>
          <w:sz w:val="32"/>
          <w:szCs w:val="32"/>
        </w:rPr>
        <w:t>年 月 日</w:t>
      </w:r>
    </w:p>
    <w:p>
      <w:pPr>
        <w:jc w:val="left"/>
        <w:rPr>
          <w:rFonts w:ascii="仿宋" w:hAnsi="仿宋" w:eastAsia="仿宋" w:cs="Times New Roman"/>
          <w:b/>
          <w:sz w:val="32"/>
          <w:szCs w:val="32"/>
        </w:rPr>
      </w:pPr>
    </w:p>
    <w:p>
      <w:pPr>
        <w:jc w:val="left"/>
        <w:rPr>
          <w:rFonts w:ascii="仿宋" w:hAnsi="仿宋" w:eastAsia="仿宋" w:cs="Times New Roman"/>
          <w:b/>
          <w:sz w:val="32"/>
          <w:szCs w:val="32"/>
        </w:rPr>
      </w:pPr>
    </w:p>
    <w:p>
      <w:pPr>
        <w:jc w:val="left"/>
        <w:rPr>
          <w:rFonts w:ascii="仿宋" w:hAnsi="仿宋" w:eastAsia="仿宋" w:cs="Times New Roman"/>
          <w:b/>
          <w:sz w:val="32"/>
          <w:szCs w:val="32"/>
        </w:rPr>
      </w:pPr>
    </w:p>
    <w:p>
      <w:pPr>
        <w:jc w:val="left"/>
        <w:rPr>
          <w:rFonts w:ascii="仿宋" w:hAnsi="仿宋" w:eastAsia="仿宋" w:cs="Times New Roman"/>
          <w:b/>
          <w:sz w:val="32"/>
          <w:szCs w:val="32"/>
        </w:rPr>
      </w:pPr>
    </w:p>
    <w:p>
      <w:pPr>
        <w:jc w:val="left"/>
        <w:rPr>
          <w:rFonts w:ascii="仿宋" w:hAnsi="仿宋" w:eastAsia="仿宋" w:cs="Times New Roman"/>
          <w:b/>
          <w:sz w:val="32"/>
          <w:szCs w:val="32"/>
        </w:rPr>
      </w:pPr>
    </w:p>
    <w:p>
      <w:pPr>
        <w:jc w:val="left"/>
        <w:rPr>
          <w:rFonts w:ascii="仿宋" w:hAnsi="仿宋" w:eastAsia="仿宋" w:cs="Times New Roman"/>
          <w:b/>
          <w:sz w:val="32"/>
          <w:szCs w:val="32"/>
        </w:rPr>
      </w:pPr>
    </w:p>
    <w:p>
      <w:pPr>
        <w:jc w:val="left"/>
        <w:rPr>
          <w:rFonts w:ascii="仿宋" w:hAnsi="仿宋" w:eastAsia="仿宋" w:cs="Times New Roman"/>
          <w:b/>
          <w:sz w:val="32"/>
          <w:szCs w:val="32"/>
        </w:rPr>
      </w:pPr>
    </w:p>
    <w:p>
      <w:pPr>
        <w:jc w:val="left"/>
        <w:rPr>
          <w:rFonts w:ascii="仿宋" w:hAnsi="仿宋" w:eastAsia="仿宋" w:cs="Times New Roman"/>
          <w:b/>
          <w:sz w:val="32"/>
          <w:szCs w:val="32"/>
        </w:rPr>
      </w:pPr>
    </w:p>
    <w:p>
      <w:pPr>
        <w:jc w:val="left"/>
        <w:rPr>
          <w:rFonts w:ascii="仿宋" w:hAnsi="仿宋" w:eastAsia="仿宋" w:cs="Times New Roman"/>
          <w:b/>
          <w:sz w:val="32"/>
          <w:szCs w:val="32"/>
        </w:rPr>
      </w:pPr>
    </w:p>
    <w:p>
      <w:pPr>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3</w:t>
      </w:r>
    </w:p>
    <w:p>
      <w:pPr>
        <w:jc w:val="center"/>
        <w:rPr>
          <w:rFonts w:ascii="仿宋" w:hAnsi="仿宋" w:eastAsia="仿宋" w:cs="Times New Roman"/>
          <w:b/>
          <w:sz w:val="32"/>
          <w:szCs w:val="32"/>
        </w:rPr>
      </w:pPr>
      <w:r>
        <w:rPr>
          <w:rFonts w:hint="eastAsia" w:ascii="仿宋" w:hAnsi="仿宋" w:eastAsia="仿宋" w:cs="Times New Roman"/>
          <w:b/>
          <w:sz w:val="32"/>
          <w:szCs w:val="32"/>
        </w:rPr>
        <w:t>税务师事务所等级认定申请表</w:t>
      </w:r>
    </w:p>
    <w:p>
      <w:pPr>
        <w:jc w:val="both"/>
        <w:rPr>
          <w:rFonts w:ascii="仿宋_GB2312" w:hAnsi="Calibri" w:eastAsia="仿宋_GB2312" w:cs="Times New Roman"/>
          <w:b/>
          <w:sz w:val="24"/>
        </w:rPr>
      </w:pPr>
      <w:r>
        <w:rPr>
          <w:rFonts w:hint="eastAsia" w:ascii="仿宋_GB2312" w:hAnsi="Calibri" w:eastAsia="仿宋_GB2312" w:cs="Times New Roman"/>
          <w:b/>
          <w:sz w:val="24"/>
        </w:rPr>
        <w:t>申请等级（勾选）： □AAA级  □AA级  □A级</w:t>
      </w:r>
    </w:p>
    <w:tbl>
      <w:tblPr>
        <w:tblStyle w:val="5"/>
        <w:tblpPr w:leftFromText="180" w:rightFromText="180" w:vertAnchor="text" w:tblpXSpec="center" w:tblpY="1"/>
        <w:tblOverlap w:val="never"/>
        <w:tblW w:w="8897" w:type="dxa"/>
        <w:tblInd w:w="0" w:type="dxa"/>
        <w:tblLayout w:type="fixed"/>
        <w:tblCellMar>
          <w:top w:w="0" w:type="dxa"/>
          <w:left w:w="108" w:type="dxa"/>
          <w:bottom w:w="0" w:type="dxa"/>
          <w:right w:w="108" w:type="dxa"/>
        </w:tblCellMar>
      </w:tblPr>
      <w:tblGrid>
        <w:gridCol w:w="1686"/>
        <w:gridCol w:w="577"/>
        <w:gridCol w:w="1247"/>
        <w:gridCol w:w="1418"/>
        <w:gridCol w:w="567"/>
        <w:gridCol w:w="1417"/>
        <w:gridCol w:w="1276"/>
        <w:gridCol w:w="709"/>
      </w:tblGrid>
      <w:tr>
        <w:tblPrEx>
          <w:tblCellMar>
            <w:top w:w="0" w:type="dxa"/>
            <w:left w:w="108" w:type="dxa"/>
            <w:bottom w:w="0" w:type="dxa"/>
            <w:right w:w="108" w:type="dxa"/>
          </w:tblCellMar>
        </w:tblPrEx>
        <w:trPr>
          <w:trHeight w:val="472" w:hRule="atLeast"/>
        </w:trPr>
        <w:tc>
          <w:tcPr>
            <w:tcW w:w="889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i/>
                <w:iCs/>
                <w:color w:val="000000"/>
                <w:kern w:val="0"/>
                <w:sz w:val="24"/>
              </w:rPr>
            </w:pPr>
            <w:r>
              <w:rPr>
                <w:rFonts w:hint="eastAsia" w:ascii="宋体" w:hAnsi="宋体" w:eastAsia="宋体" w:cs="宋体"/>
                <w:b/>
                <w:bCs/>
                <w:i/>
                <w:iCs/>
                <w:color w:val="000000"/>
                <w:kern w:val="0"/>
                <w:sz w:val="24"/>
              </w:rPr>
              <w:t>基本信息</w:t>
            </w:r>
          </w:p>
        </w:tc>
      </w:tr>
      <w:tr>
        <w:tblPrEx>
          <w:tblCellMar>
            <w:top w:w="0" w:type="dxa"/>
            <w:left w:w="108" w:type="dxa"/>
            <w:bottom w:w="0" w:type="dxa"/>
            <w:right w:w="108" w:type="dxa"/>
          </w:tblCellMar>
        </w:tblPrEx>
        <w:trPr>
          <w:trHeight w:val="705" w:hRule="atLeast"/>
        </w:trPr>
        <w:tc>
          <w:tcPr>
            <w:tcW w:w="22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事务所名称</w:t>
            </w:r>
          </w:p>
        </w:tc>
        <w:tc>
          <w:tcPr>
            <w:tcW w:w="26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单位会员号</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705" w:hRule="atLeast"/>
        </w:trPr>
        <w:tc>
          <w:tcPr>
            <w:tcW w:w="691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法定代表人（分公司负责人/执行合伙事务的合伙人）</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1590" w:hRule="atLeast"/>
        </w:trPr>
        <w:tc>
          <w:tcPr>
            <w:tcW w:w="22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组织结构</w:t>
            </w:r>
          </w:p>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（勾选)</w:t>
            </w:r>
          </w:p>
        </w:tc>
        <w:tc>
          <w:tcPr>
            <w:tcW w:w="26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□单所</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□总分</w:t>
            </w:r>
          </w:p>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□其他</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从属关系</w:t>
            </w:r>
          </w:p>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（勾选)</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□总公司（总所）</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□分公司（分所）</w:t>
            </w:r>
          </w:p>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□其他</w:t>
            </w:r>
          </w:p>
        </w:tc>
      </w:tr>
      <w:tr>
        <w:tblPrEx>
          <w:tblCellMar>
            <w:top w:w="0" w:type="dxa"/>
            <w:left w:w="108" w:type="dxa"/>
            <w:bottom w:w="0" w:type="dxa"/>
            <w:right w:w="108" w:type="dxa"/>
          </w:tblCellMar>
        </w:tblPrEx>
        <w:trPr>
          <w:trHeight w:val="705" w:hRule="atLeast"/>
        </w:trPr>
        <w:tc>
          <w:tcPr>
            <w:tcW w:w="22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注册资本</w:t>
            </w:r>
          </w:p>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（万元）</w:t>
            </w:r>
          </w:p>
        </w:tc>
        <w:tc>
          <w:tcPr>
            <w:tcW w:w="26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实收资本</w:t>
            </w:r>
          </w:p>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（万元）</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705" w:hRule="atLeast"/>
        </w:trPr>
        <w:tc>
          <w:tcPr>
            <w:tcW w:w="22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自律检查情况</w:t>
            </w:r>
          </w:p>
        </w:tc>
        <w:tc>
          <w:tcPr>
            <w:tcW w:w="26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何  年  何  月</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被认定为何等级</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705" w:hRule="atLeast"/>
        </w:trPr>
        <w:tc>
          <w:tcPr>
            <w:tcW w:w="22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所在地区</w:t>
            </w:r>
          </w:p>
        </w:tc>
        <w:tc>
          <w:tcPr>
            <w:tcW w:w="26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成立时间</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816" w:hRule="atLeast"/>
        </w:trPr>
        <w:tc>
          <w:tcPr>
            <w:tcW w:w="22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上年度经营收入</w:t>
            </w:r>
          </w:p>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（万元）</w:t>
            </w:r>
          </w:p>
        </w:tc>
        <w:tc>
          <w:tcPr>
            <w:tcW w:w="1247" w:type="dxa"/>
            <w:tcBorders>
              <w:top w:val="single" w:color="auto" w:sz="4" w:space="0"/>
              <w:left w:val="nil"/>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税务师、注册会计师、律师人数</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从业人员</w:t>
            </w:r>
          </w:p>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总人数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70" w:hRule="atLeast"/>
        </w:trPr>
        <w:tc>
          <w:tcPr>
            <w:tcW w:w="889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i/>
                <w:iCs/>
                <w:color w:val="000000"/>
                <w:kern w:val="0"/>
                <w:sz w:val="24"/>
              </w:rPr>
            </w:pPr>
            <w:r>
              <w:rPr>
                <w:rFonts w:hint="eastAsia" w:ascii="宋体" w:hAnsi="宋体" w:eastAsia="宋体" w:cs="宋体"/>
                <w:b/>
                <w:bCs/>
                <w:i/>
                <w:iCs/>
                <w:color w:val="000000"/>
                <w:kern w:val="0"/>
                <w:sz w:val="24"/>
              </w:rPr>
              <w:t>等级认定负责人信息</w:t>
            </w:r>
          </w:p>
        </w:tc>
      </w:tr>
      <w:tr>
        <w:tblPrEx>
          <w:tblCellMar>
            <w:top w:w="0" w:type="dxa"/>
            <w:left w:w="108" w:type="dxa"/>
            <w:bottom w:w="0" w:type="dxa"/>
            <w:right w:w="108" w:type="dxa"/>
          </w:tblCellMar>
        </w:tblPrEx>
        <w:trPr>
          <w:trHeight w:val="570" w:hRule="atLeast"/>
        </w:trPr>
        <w:tc>
          <w:tcPr>
            <w:tcW w:w="16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姓    名</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职    务</w:t>
            </w:r>
          </w:p>
        </w:tc>
        <w:tc>
          <w:tcPr>
            <w:tcW w:w="340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70" w:hRule="atLeast"/>
        </w:trPr>
        <w:tc>
          <w:tcPr>
            <w:tcW w:w="16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电话号码</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手机号码</w:t>
            </w:r>
          </w:p>
        </w:tc>
        <w:tc>
          <w:tcPr>
            <w:tcW w:w="340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70" w:hRule="atLeast"/>
        </w:trPr>
        <w:tc>
          <w:tcPr>
            <w:tcW w:w="16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电子邮箱</w:t>
            </w:r>
          </w:p>
        </w:tc>
        <w:tc>
          <w:tcPr>
            <w:tcW w:w="7211"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70" w:hRule="atLeast"/>
        </w:trPr>
        <w:tc>
          <w:tcPr>
            <w:tcW w:w="889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i/>
                <w:iCs/>
                <w:color w:val="000000"/>
                <w:kern w:val="0"/>
                <w:sz w:val="24"/>
              </w:rPr>
            </w:pPr>
            <w:r>
              <w:rPr>
                <w:rFonts w:hint="eastAsia" w:ascii="宋体" w:hAnsi="宋体" w:eastAsia="宋体" w:cs="宋体"/>
                <w:b/>
                <w:bCs/>
                <w:i/>
                <w:iCs/>
                <w:color w:val="000000"/>
                <w:kern w:val="0"/>
                <w:sz w:val="24"/>
              </w:rPr>
              <w:t>联系人信息</w:t>
            </w:r>
          </w:p>
        </w:tc>
      </w:tr>
      <w:tr>
        <w:tblPrEx>
          <w:tblCellMar>
            <w:top w:w="0" w:type="dxa"/>
            <w:left w:w="108" w:type="dxa"/>
            <w:bottom w:w="0" w:type="dxa"/>
            <w:right w:w="108" w:type="dxa"/>
          </w:tblCellMar>
        </w:tblPrEx>
        <w:trPr>
          <w:trHeight w:val="570" w:hRule="atLeast"/>
        </w:trPr>
        <w:tc>
          <w:tcPr>
            <w:tcW w:w="16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姓    名</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职    务</w:t>
            </w:r>
          </w:p>
        </w:tc>
        <w:tc>
          <w:tcPr>
            <w:tcW w:w="340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70" w:hRule="atLeast"/>
        </w:trPr>
        <w:tc>
          <w:tcPr>
            <w:tcW w:w="16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电话号码</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手机号码</w:t>
            </w:r>
          </w:p>
        </w:tc>
        <w:tc>
          <w:tcPr>
            <w:tcW w:w="340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70" w:hRule="atLeast"/>
        </w:trPr>
        <w:tc>
          <w:tcPr>
            <w:tcW w:w="16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电子邮箱</w:t>
            </w:r>
          </w:p>
        </w:tc>
        <w:tc>
          <w:tcPr>
            <w:tcW w:w="7211"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2263" w:type="dxa"/>
            <w:gridSpan w:val="2"/>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主要客户名称</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（不少于10户）</w:t>
            </w:r>
          </w:p>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及</w:t>
            </w:r>
          </w:p>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申请理由</w:t>
            </w:r>
          </w:p>
        </w:tc>
        <w:tc>
          <w:tcPr>
            <w:tcW w:w="6634" w:type="dxa"/>
            <w:gridSpan w:val="6"/>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t>主要客户名称：</w:t>
            </w: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Times New Roman"/>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申请理由：</w:t>
            </w: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（可附页续填）</w:t>
            </w: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ind w:left="4305" w:leftChars="2050" w:firstLine="240" w:firstLineChars="100"/>
              <w:jc w:val="left"/>
              <w:rPr>
                <w:rFonts w:ascii="仿宋" w:hAnsi="仿宋" w:eastAsia="仿宋" w:cs="宋体"/>
                <w:color w:val="000000"/>
                <w:kern w:val="0"/>
                <w:sz w:val="24"/>
              </w:rPr>
            </w:pPr>
            <w:r>
              <w:rPr>
                <w:rFonts w:hint="eastAsia" w:ascii="仿宋" w:hAnsi="仿宋" w:eastAsia="仿宋" w:cs="宋体"/>
                <w:color w:val="000000"/>
                <w:kern w:val="0"/>
                <w:sz w:val="24"/>
              </w:rPr>
              <w:t>（公章）</w:t>
            </w:r>
            <w:r>
              <w:rPr>
                <w:rFonts w:hint="eastAsia" w:ascii="仿宋" w:hAnsi="仿宋" w:eastAsia="仿宋" w:cs="宋体"/>
                <w:color w:val="000000"/>
                <w:kern w:val="0"/>
                <w:sz w:val="24"/>
              </w:rPr>
              <w:br w:type="page"/>
            </w:r>
            <w:r>
              <w:rPr>
                <w:rFonts w:hint="eastAsia" w:ascii="仿宋" w:hAnsi="仿宋" w:eastAsia="仿宋" w:cs="宋体"/>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trPr>
        <w:tc>
          <w:tcPr>
            <w:tcW w:w="2263" w:type="dxa"/>
            <w:gridSpan w:val="2"/>
            <w:shd w:val="clear" w:color="auto" w:fill="auto"/>
            <w:vAlign w:val="center"/>
          </w:tcPr>
          <w:p>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审核小组</w:t>
            </w:r>
          </w:p>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br w:type="page"/>
            </w:r>
            <w:r>
              <w:rPr>
                <w:rFonts w:hint="eastAsia" w:ascii="仿宋" w:hAnsi="仿宋" w:eastAsia="仿宋" w:cs="宋体"/>
                <w:color w:val="000000"/>
                <w:kern w:val="0"/>
                <w:sz w:val="24"/>
              </w:rPr>
              <w:t>审查意见</w:t>
            </w:r>
          </w:p>
        </w:tc>
        <w:tc>
          <w:tcPr>
            <w:tcW w:w="6634" w:type="dxa"/>
            <w:gridSpan w:val="6"/>
            <w:shd w:val="clear" w:color="auto" w:fill="auto"/>
            <w:vAlign w:val="center"/>
          </w:tcPr>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bookmarkStart w:id="74" w:name="_GoBack"/>
            <w:bookmarkEnd w:id="74"/>
          </w:p>
          <w:p>
            <w:pPr>
              <w:widowControl/>
              <w:ind w:firstLine="3720" w:firstLineChars="1550"/>
              <w:jc w:val="left"/>
              <w:rPr>
                <w:rFonts w:ascii="仿宋" w:hAnsi="仿宋" w:eastAsia="仿宋" w:cs="宋体"/>
                <w:color w:val="000000"/>
                <w:kern w:val="0"/>
                <w:sz w:val="24"/>
              </w:rPr>
            </w:pPr>
            <w:r>
              <w:rPr>
                <w:rFonts w:hint="eastAsia" w:ascii="仿宋" w:hAnsi="仿宋" w:eastAsia="仿宋" w:cs="宋体"/>
                <w:color w:val="000000"/>
                <w:kern w:val="0"/>
                <w:sz w:val="24"/>
              </w:rPr>
              <w:t>（公章）</w:t>
            </w:r>
            <w:r>
              <w:rPr>
                <w:rFonts w:hint="eastAsia" w:ascii="仿宋" w:hAnsi="仿宋" w:eastAsia="仿宋" w:cs="宋体"/>
                <w:color w:val="000000"/>
                <w:kern w:val="0"/>
                <w:sz w:val="24"/>
              </w:rPr>
              <w:br w:type="page"/>
            </w:r>
            <w:r>
              <w:rPr>
                <w:rFonts w:hint="eastAsia" w:ascii="仿宋" w:hAnsi="仿宋" w:eastAsia="仿宋" w:cs="宋体"/>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trPr>
        <w:tc>
          <w:tcPr>
            <w:tcW w:w="2263" w:type="dxa"/>
            <w:gridSpan w:val="2"/>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省税协</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审查意见</w:t>
            </w:r>
          </w:p>
        </w:tc>
        <w:tc>
          <w:tcPr>
            <w:tcW w:w="6634" w:type="dxa"/>
            <w:gridSpan w:val="6"/>
            <w:shd w:val="clear" w:color="auto" w:fill="auto"/>
            <w:vAlign w:val="center"/>
          </w:tcPr>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p>
          <w:p>
            <w:pPr>
              <w:widowControl/>
              <w:ind w:left="4551" w:leftChars="1767" w:hanging="840" w:hangingChars="350"/>
              <w:jc w:val="left"/>
              <w:rPr>
                <w:rFonts w:ascii="仿宋" w:hAnsi="仿宋" w:eastAsia="仿宋" w:cs="宋体"/>
                <w:color w:val="000000"/>
                <w:kern w:val="0"/>
                <w:sz w:val="24"/>
              </w:rPr>
            </w:pPr>
            <w:r>
              <w:rPr>
                <w:rFonts w:hint="eastAsia" w:ascii="仿宋" w:hAnsi="仿宋" w:eastAsia="仿宋" w:cs="宋体"/>
                <w:color w:val="000000"/>
                <w:kern w:val="0"/>
                <w:sz w:val="24"/>
              </w:rPr>
              <w:t>（公章）</w:t>
            </w:r>
            <w:r>
              <w:rPr>
                <w:rFonts w:hint="eastAsia" w:ascii="仿宋" w:hAnsi="仿宋" w:eastAsia="仿宋" w:cs="宋体"/>
                <w:color w:val="000000"/>
                <w:kern w:val="0"/>
                <w:sz w:val="24"/>
              </w:rPr>
              <w:br w:type="page"/>
            </w:r>
            <w:r>
              <w:rPr>
                <w:rFonts w:hint="eastAsia" w:ascii="仿宋" w:hAnsi="仿宋" w:eastAsia="仿宋" w:cs="宋体"/>
                <w:color w:val="000000"/>
                <w:kern w:val="0"/>
                <w:sz w:val="24"/>
              </w:rPr>
              <w:t>年   月   日　</w:t>
            </w:r>
          </w:p>
        </w:tc>
      </w:tr>
    </w:tbl>
    <w:p>
      <w:pPr>
        <w:rPr>
          <w:rFonts w:ascii="宋体" w:hAnsi="宋体" w:eastAsia="宋体" w:cs="宋体"/>
          <w:b/>
          <w:bCs/>
          <w:color w:val="000000"/>
          <w:kern w:val="0"/>
          <w:sz w:val="44"/>
          <w:szCs w:val="44"/>
        </w:rPr>
      </w:pPr>
    </w:p>
    <w:p>
      <w:pPr>
        <w:rPr>
          <w:rFonts w:ascii="宋体" w:hAnsi="宋体" w:eastAsia="宋体" w:cs="宋体"/>
          <w:b/>
          <w:bCs/>
          <w:color w:val="000000"/>
          <w:kern w:val="0"/>
          <w:sz w:val="44"/>
          <w:szCs w:val="44"/>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附件</w:t>
      </w:r>
      <w:r>
        <w:rPr>
          <w:rFonts w:hint="eastAsia" w:ascii="仿宋" w:hAnsi="仿宋" w:eastAsia="仿宋" w:cs="Times New Roman"/>
          <w:color w:val="000000"/>
          <w:sz w:val="32"/>
          <w:szCs w:val="32"/>
          <w:lang w:val="en-US" w:eastAsia="zh-CN"/>
        </w:rPr>
        <w:t>4</w:t>
      </w:r>
    </w:p>
    <w:p>
      <w:pPr>
        <w:jc w:val="center"/>
        <w:rPr>
          <w:rFonts w:ascii="宋体" w:hAnsi="宋体" w:eastAsia="宋体" w:cs="Times New Roman"/>
          <w:b/>
          <w:bCs/>
          <w:color w:val="000000"/>
          <w:sz w:val="32"/>
          <w:szCs w:val="32"/>
        </w:rPr>
      </w:pPr>
      <w:r>
        <w:rPr>
          <w:rFonts w:hint="eastAsia" w:ascii="仿宋" w:hAnsi="仿宋" w:eastAsia="仿宋" w:cs="Times New Roman"/>
          <w:b/>
          <w:sz w:val="32"/>
          <w:szCs w:val="32"/>
        </w:rPr>
        <w:t>税务师事务所从业人员信息表</w:t>
      </w:r>
    </w:p>
    <w:p>
      <w:pPr>
        <w:widowControl/>
        <w:jc w:val="left"/>
        <w:textAlignment w:val="center"/>
        <w:rPr>
          <w:rFonts w:ascii="宋体" w:hAnsi="宋体" w:eastAsia="宋体" w:cs="Times New Roman"/>
          <w:b/>
          <w:bCs/>
          <w:color w:val="000000"/>
          <w:sz w:val="32"/>
          <w:szCs w:val="32"/>
        </w:rPr>
      </w:pPr>
      <w:r>
        <w:rPr>
          <w:rFonts w:hint="eastAsia" w:ascii="仿宋_GB2312" w:hAnsi="宋体" w:eastAsia="仿宋_GB2312" w:cs="仿宋_GB2312"/>
          <w:b/>
          <w:bCs/>
          <w:color w:val="000000"/>
          <w:sz w:val="24"/>
        </w:rPr>
        <w:t>事务所名称：*</w:t>
      </w:r>
      <w:r>
        <w:rPr>
          <w:rFonts w:ascii="仿宋_GB2312" w:hAnsi="宋体" w:eastAsia="仿宋_GB2312" w:cs="仿宋_GB2312"/>
          <w:b/>
          <w:bCs/>
          <w:color w:val="000000"/>
          <w:sz w:val="24"/>
        </w:rPr>
        <w:t xml:space="preserve">*****             </w:t>
      </w:r>
      <w:r>
        <w:rPr>
          <w:rFonts w:hint="eastAsia" w:ascii="仿宋_GB2312" w:hAnsi="宋体" w:eastAsia="仿宋_GB2312" w:cs="仿宋_GB2312"/>
          <w:b/>
          <w:bCs/>
          <w:color w:val="000000"/>
          <w:sz w:val="24"/>
        </w:rPr>
        <w:t>填表人：*</w:t>
      </w:r>
      <w:r>
        <w:rPr>
          <w:rFonts w:ascii="仿宋_GB2312" w:hAnsi="宋体" w:eastAsia="仿宋_GB2312" w:cs="仿宋_GB2312"/>
          <w:b/>
          <w:bCs/>
          <w:color w:val="000000"/>
          <w:sz w:val="24"/>
        </w:rPr>
        <w:t>***</w:t>
      </w:r>
    </w:p>
    <w:tbl>
      <w:tblPr>
        <w:tblStyle w:val="5"/>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035"/>
        <w:gridCol w:w="709"/>
        <w:gridCol w:w="1417"/>
        <w:gridCol w:w="1276"/>
        <w:gridCol w:w="1559"/>
        <w:gridCol w:w="993"/>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03" w:type="dxa"/>
            <w:shd w:val="clear" w:color="auto" w:fill="auto"/>
            <w:vAlign w:val="center"/>
          </w:tcPr>
          <w:p>
            <w:pPr>
              <w:widowControl/>
              <w:jc w:val="center"/>
              <w:textAlignment w:val="center"/>
              <w:rPr>
                <w:rFonts w:ascii="仿宋" w:hAnsi="仿宋" w:eastAsia="仿宋" w:cs="仿宋_GB2312"/>
                <w:b/>
                <w:bCs/>
                <w:color w:val="000000"/>
                <w:sz w:val="24"/>
              </w:rPr>
            </w:pPr>
            <w:r>
              <w:rPr>
                <w:rFonts w:ascii="仿宋" w:hAnsi="仿宋" w:eastAsia="仿宋" w:cs="仿宋_GB2312"/>
                <w:b/>
                <w:bCs/>
                <w:color w:val="000000"/>
                <w:kern w:val="0"/>
                <w:sz w:val="24"/>
              </w:rPr>
              <w:t>序号</w:t>
            </w:r>
          </w:p>
        </w:tc>
        <w:tc>
          <w:tcPr>
            <w:tcW w:w="1035" w:type="dxa"/>
            <w:shd w:val="clear" w:color="auto" w:fill="auto"/>
            <w:vAlign w:val="center"/>
          </w:tcPr>
          <w:p>
            <w:pPr>
              <w:widowControl/>
              <w:jc w:val="center"/>
              <w:textAlignment w:val="center"/>
              <w:rPr>
                <w:rFonts w:ascii="仿宋" w:hAnsi="仿宋" w:eastAsia="仿宋" w:cs="仿宋_GB2312"/>
                <w:b/>
                <w:bCs/>
                <w:color w:val="000000"/>
                <w:sz w:val="24"/>
              </w:rPr>
            </w:pPr>
            <w:r>
              <w:rPr>
                <w:rFonts w:hint="eastAsia" w:ascii="仿宋" w:hAnsi="仿宋" w:eastAsia="仿宋" w:cs="仿宋_GB2312"/>
                <w:b/>
                <w:bCs/>
                <w:color w:val="000000"/>
                <w:sz w:val="24"/>
              </w:rPr>
              <w:t>姓名</w:t>
            </w:r>
          </w:p>
        </w:tc>
        <w:tc>
          <w:tcPr>
            <w:tcW w:w="709" w:type="dxa"/>
            <w:shd w:val="clear" w:color="auto" w:fill="auto"/>
            <w:vAlign w:val="center"/>
          </w:tcPr>
          <w:p>
            <w:pPr>
              <w:widowControl/>
              <w:jc w:val="center"/>
              <w:textAlignment w:val="center"/>
              <w:rPr>
                <w:rFonts w:ascii="仿宋" w:hAnsi="仿宋" w:eastAsia="仿宋" w:cs="仿宋_GB2312"/>
                <w:b/>
                <w:bCs/>
                <w:color w:val="000000"/>
                <w:sz w:val="24"/>
              </w:rPr>
            </w:pPr>
            <w:r>
              <w:rPr>
                <w:rFonts w:hint="eastAsia" w:ascii="仿宋" w:hAnsi="仿宋" w:eastAsia="仿宋" w:cs="仿宋_GB2312"/>
                <w:b/>
                <w:bCs/>
                <w:color w:val="000000"/>
                <w:sz w:val="24"/>
              </w:rPr>
              <w:t>性别</w:t>
            </w:r>
          </w:p>
        </w:tc>
        <w:tc>
          <w:tcPr>
            <w:tcW w:w="1417" w:type="dxa"/>
            <w:vAlign w:val="center"/>
          </w:tcPr>
          <w:p>
            <w:pPr>
              <w:widowControl/>
              <w:jc w:val="center"/>
              <w:textAlignment w:val="center"/>
              <w:rPr>
                <w:rFonts w:ascii="仿宋" w:hAnsi="仿宋" w:eastAsia="仿宋" w:cs="仿宋_GB2312"/>
                <w:b/>
                <w:bCs/>
                <w:color w:val="000000"/>
                <w:kern w:val="0"/>
                <w:sz w:val="24"/>
              </w:rPr>
            </w:pPr>
            <w:r>
              <w:rPr>
                <w:rFonts w:hint="eastAsia" w:ascii="仿宋" w:hAnsi="仿宋" w:eastAsia="仿宋" w:cs="仿宋_GB2312"/>
                <w:b/>
                <w:bCs/>
                <w:color w:val="000000"/>
                <w:kern w:val="0"/>
                <w:sz w:val="24"/>
              </w:rPr>
              <w:t>出生年月</w:t>
            </w:r>
          </w:p>
        </w:tc>
        <w:tc>
          <w:tcPr>
            <w:tcW w:w="1276" w:type="dxa"/>
            <w:vAlign w:val="center"/>
          </w:tcPr>
          <w:p>
            <w:pPr>
              <w:widowControl/>
              <w:jc w:val="center"/>
              <w:textAlignment w:val="center"/>
              <w:rPr>
                <w:rFonts w:ascii="仿宋" w:hAnsi="仿宋" w:eastAsia="仿宋" w:cs="仿宋_GB2312"/>
                <w:b/>
                <w:bCs/>
                <w:color w:val="000000"/>
                <w:sz w:val="24"/>
              </w:rPr>
            </w:pPr>
            <w:r>
              <w:rPr>
                <w:rFonts w:hint="eastAsia" w:ascii="仿宋" w:hAnsi="仿宋" w:eastAsia="仿宋" w:cs="仿宋_GB2312"/>
                <w:b/>
                <w:bCs/>
                <w:color w:val="000000"/>
                <w:sz w:val="24"/>
              </w:rPr>
              <w:t>职务</w:t>
            </w:r>
          </w:p>
        </w:tc>
        <w:tc>
          <w:tcPr>
            <w:tcW w:w="1559" w:type="dxa"/>
            <w:shd w:val="clear" w:color="auto" w:fill="auto"/>
            <w:vAlign w:val="center"/>
          </w:tcPr>
          <w:p>
            <w:pPr>
              <w:widowControl/>
              <w:jc w:val="center"/>
              <w:textAlignment w:val="center"/>
              <w:rPr>
                <w:rFonts w:ascii="仿宋" w:hAnsi="仿宋" w:eastAsia="仿宋" w:cs="仿宋_GB2312"/>
                <w:b/>
                <w:bCs/>
                <w:color w:val="000000"/>
                <w:sz w:val="24"/>
              </w:rPr>
            </w:pPr>
            <w:r>
              <w:rPr>
                <w:rFonts w:hint="eastAsia" w:ascii="仿宋" w:hAnsi="仿宋" w:eastAsia="仿宋" w:cs="仿宋_GB2312"/>
                <w:b/>
                <w:bCs/>
                <w:color w:val="000000"/>
                <w:sz w:val="24"/>
              </w:rPr>
              <w:t>资格类型</w:t>
            </w:r>
          </w:p>
        </w:tc>
        <w:tc>
          <w:tcPr>
            <w:tcW w:w="993" w:type="dxa"/>
            <w:shd w:val="clear" w:color="auto" w:fill="auto"/>
            <w:vAlign w:val="center"/>
          </w:tcPr>
          <w:p>
            <w:pPr>
              <w:widowControl/>
              <w:jc w:val="center"/>
              <w:textAlignment w:val="center"/>
              <w:rPr>
                <w:rFonts w:ascii="仿宋" w:hAnsi="仿宋" w:eastAsia="仿宋" w:cs="仿宋_GB2312"/>
                <w:b/>
                <w:bCs/>
                <w:color w:val="000000"/>
                <w:sz w:val="24"/>
              </w:rPr>
            </w:pPr>
            <w:r>
              <w:rPr>
                <w:rFonts w:hint="eastAsia" w:ascii="仿宋" w:hAnsi="仿宋" w:eastAsia="仿宋" w:cs="仿宋_GB2312"/>
                <w:b/>
                <w:bCs/>
                <w:color w:val="000000"/>
                <w:sz w:val="24"/>
              </w:rPr>
              <w:t>资格证书编号</w:t>
            </w:r>
          </w:p>
        </w:tc>
        <w:tc>
          <w:tcPr>
            <w:tcW w:w="992" w:type="dxa"/>
            <w:shd w:val="clear" w:color="auto" w:fill="auto"/>
            <w:vAlign w:val="center"/>
          </w:tcPr>
          <w:p>
            <w:pPr>
              <w:widowControl/>
              <w:jc w:val="center"/>
              <w:textAlignment w:val="center"/>
              <w:rPr>
                <w:rFonts w:ascii="仿宋" w:hAnsi="仿宋" w:eastAsia="仿宋" w:cs="仿宋_GB2312"/>
                <w:b/>
                <w:bCs/>
                <w:color w:val="000000"/>
                <w:sz w:val="24"/>
              </w:rPr>
            </w:pPr>
            <w:r>
              <w:rPr>
                <w:rFonts w:hint="eastAsia" w:ascii="仿宋" w:hAnsi="仿宋" w:eastAsia="仿宋" w:cs="仿宋_GB2312"/>
                <w:b/>
                <w:bCs/>
                <w:color w:val="000000"/>
                <w:sz w:val="24"/>
              </w:rPr>
              <w:t>个人会员号</w:t>
            </w:r>
          </w:p>
        </w:tc>
        <w:tc>
          <w:tcPr>
            <w:tcW w:w="1276" w:type="dxa"/>
          </w:tcPr>
          <w:p>
            <w:pPr>
              <w:widowControl/>
              <w:jc w:val="center"/>
              <w:textAlignment w:val="center"/>
              <w:rPr>
                <w:rFonts w:ascii="仿宋" w:hAnsi="仿宋" w:eastAsia="仿宋" w:cs="仿宋_GB2312"/>
                <w:b/>
                <w:bCs/>
                <w:color w:val="000000"/>
                <w:sz w:val="24"/>
              </w:rPr>
            </w:pPr>
            <w:r>
              <w:rPr>
                <w:rFonts w:hint="eastAsia" w:ascii="仿宋" w:hAnsi="仿宋" w:eastAsia="仿宋" w:cs="仿宋_GB2312"/>
                <w:b/>
                <w:bCs/>
                <w:color w:val="000000"/>
                <w:sz w:val="24"/>
              </w:rPr>
              <w:t>社保缴纳情况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03" w:type="dxa"/>
            <w:shd w:val="clear" w:color="auto" w:fill="auto"/>
            <w:vAlign w:val="center"/>
          </w:tcPr>
          <w:p>
            <w:pPr>
              <w:widowControl/>
              <w:jc w:val="center"/>
              <w:textAlignment w:val="center"/>
              <w:rPr>
                <w:rFonts w:ascii="宋体" w:hAnsi="宋体" w:eastAsia="宋体" w:cs="仿宋_GB2312"/>
                <w:color w:val="000000"/>
                <w:sz w:val="24"/>
              </w:rPr>
            </w:pPr>
            <w:r>
              <w:rPr>
                <w:rFonts w:ascii="宋体" w:hAnsi="宋体" w:eastAsia="宋体" w:cs="仿宋_GB2312"/>
                <w:color w:val="000000"/>
                <w:kern w:val="0"/>
                <w:sz w:val="24"/>
              </w:rPr>
              <w:t>1</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noWrap/>
            <w:vAlign w:val="center"/>
          </w:tcPr>
          <w:p>
            <w:pPr>
              <w:jc w:val="center"/>
              <w:rPr>
                <w:rFonts w:ascii="宋体" w:hAnsi="宋体" w:eastAsia="宋体" w:cs="宋体"/>
                <w:color w:val="000000"/>
                <w:sz w:val="24"/>
              </w:rPr>
            </w:pPr>
          </w:p>
        </w:tc>
        <w:tc>
          <w:tcPr>
            <w:tcW w:w="1276" w:type="dxa"/>
          </w:tcPr>
          <w:p>
            <w:pPr>
              <w:widowControl/>
              <w:jc w:val="center"/>
              <w:textAlignment w:val="center"/>
              <w:rPr>
                <w:rFonts w:ascii="宋体" w:hAnsi="宋体" w:eastAsia="宋体" w:cs="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sz w:val="24"/>
              </w:rPr>
            </w:pPr>
            <w:r>
              <w:rPr>
                <w:rFonts w:ascii="宋体" w:hAnsi="宋体" w:eastAsia="宋体" w:cs="仿宋_GB2312"/>
                <w:color w:val="000000"/>
                <w:kern w:val="0"/>
                <w:sz w:val="24"/>
              </w:rPr>
              <w:t>2</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noWrap/>
            <w:vAlign w:val="center"/>
          </w:tcPr>
          <w:p>
            <w:pPr>
              <w:jc w:val="center"/>
              <w:rPr>
                <w:rFonts w:ascii="宋体" w:hAnsi="宋体" w:eastAsia="宋体" w:cs="宋体"/>
                <w:color w:val="000000"/>
                <w:sz w:val="24"/>
              </w:rPr>
            </w:pPr>
          </w:p>
        </w:tc>
        <w:tc>
          <w:tcPr>
            <w:tcW w:w="1276" w:type="dxa"/>
          </w:tcPr>
          <w:p>
            <w:pPr>
              <w:ind w:right="2014" w:rightChars="959"/>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sz w:val="24"/>
              </w:rPr>
            </w:pPr>
            <w:r>
              <w:rPr>
                <w:rFonts w:ascii="宋体" w:hAnsi="宋体" w:eastAsia="宋体" w:cs="仿宋_GB2312"/>
                <w:color w:val="000000"/>
                <w:kern w:val="0"/>
                <w:sz w:val="24"/>
              </w:rPr>
              <w:t>3</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宋体"/>
                <w:color w:val="0000FF"/>
                <w:sz w:val="24"/>
              </w:rPr>
            </w:pPr>
          </w:p>
        </w:tc>
        <w:tc>
          <w:tcPr>
            <w:tcW w:w="1276" w:type="dxa"/>
          </w:tcPr>
          <w:p>
            <w:pPr>
              <w:ind w:right="2014" w:rightChars="959"/>
              <w:jc w:val="center"/>
              <w:rPr>
                <w:rFonts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4</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宋体"/>
                <w:color w:val="0000FF"/>
                <w:sz w:val="24"/>
              </w:rPr>
            </w:pPr>
          </w:p>
        </w:tc>
        <w:tc>
          <w:tcPr>
            <w:tcW w:w="1276" w:type="dxa"/>
          </w:tcPr>
          <w:p>
            <w:pPr>
              <w:ind w:right="2014" w:rightChars="959"/>
              <w:jc w:val="center"/>
              <w:rPr>
                <w:rFonts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5</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宋体"/>
                <w:color w:val="0000FF"/>
                <w:sz w:val="24"/>
              </w:rPr>
            </w:pPr>
          </w:p>
        </w:tc>
        <w:tc>
          <w:tcPr>
            <w:tcW w:w="1276" w:type="dxa"/>
          </w:tcPr>
          <w:p>
            <w:pPr>
              <w:ind w:right="2014" w:rightChars="959"/>
              <w:jc w:val="center"/>
              <w:rPr>
                <w:rFonts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6</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宋体"/>
                <w:color w:val="0000FF"/>
                <w:sz w:val="24"/>
              </w:rPr>
            </w:pPr>
          </w:p>
        </w:tc>
        <w:tc>
          <w:tcPr>
            <w:tcW w:w="1276" w:type="dxa"/>
          </w:tcPr>
          <w:p>
            <w:pPr>
              <w:ind w:right="2014" w:rightChars="959"/>
              <w:jc w:val="center"/>
              <w:rPr>
                <w:rFonts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7</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宋体"/>
                <w:color w:val="0000FF"/>
                <w:sz w:val="24"/>
              </w:rPr>
            </w:pPr>
          </w:p>
        </w:tc>
        <w:tc>
          <w:tcPr>
            <w:tcW w:w="1276" w:type="dxa"/>
          </w:tcPr>
          <w:p>
            <w:pPr>
              <w:ind w:right="2014" w:rightChars="959"/>
              <w:jc w:val="center"/>
              <w:rPr>
                <w:rFonts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8</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宋体"/>
                <w:color w:val="0000FF"/>
                <w:sz w:val="24"/>
              </w:rPr>
            </w:pPr>
          </w:p>
        </w:tc>
        <w:tc>
          <w:tcPr>
            <w:tcW w:w="1276" w:type="dxa"/>
          </w:tcPr>
          <w:p>
            <w:pPr>
              <w:ind w:right="2014" w:rightChars="959"/>
              <w:jc w:val="center"/>
              <w:rPr>
                <w:rFonts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9</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宋体"/>
                <w:color w:val="0000FF"/>
                <w:sz w:val="24"/>
              </w:rPr>
            </w:pPr>
          </w:p>
        </w:tc>
        <w:tc>
          <w:tcPr>
            <w:tcW w:w="1276" w:type="dxa"/>
          </w:tcPr>
          <w:p>
            <w:pPr>
              <w:ind w:right="2014" w:rightChars="959"/>
              <w:jc w:val="center"/>
              <w:rPr>
                <w:rFonts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0</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宋体"/>
                <w:color w:val="0000FF"/>
                <w:sz w:val="24"/>
              </w:rPr>
            </w:pPr>
          </w:p>
        </w:tc>
        <w:tc>
          <w:tcPr>
            <w:tcW w:w="1276" w:type="dxa"/>
          </w:tcPr>
          <w:p>
            <w:pPr>
              <w:ind w:right="2014" w:rightChars="959"/>
              <w:jc w:val="center"/>
              <w:rPr>
                <w:rFonts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1</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宋体"/>
                <w:color w:val="0000FF"/>
                <w:sz w:val="24"/>
              </w:rPr>
            </w:pPr>
          </w:p>
        </w:tc>
        <w:tc>
          <w:tcPr>
            <w:tcW w:w="1276" w:type="dxa"/>
          </w:tcPr>
          <w:p>
            <w:pPr>
              <w:ind w:right="2014" w:rightChars="959"/>
              <w:jc w:val="center"/>
              <w:rPr>
                <w:rFonts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2</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宋体"/>
                <w:color w:val="0000FF"/>
                <w:sz w:val="24"/>
              </w:rPr>
            </w:pPr>
          </w:p>
        </w:tc>
        <w:tc>
          <w:tcPr>
            <w:tcW w:w="1276" w:type="dxa"/>
          </w:tcPr>
          <w:p>
            <w:pPr>
              <w:ind w:right="2014" w:rightChars="959"/>
              <w:jc w:val="center"/>
              <w:rPr>
                <w:rFonts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3</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宋体"/>
                <w:color w:val="0000FF"/>
                <w:sz w:val="24"/>
              </w:rPr>
            </w:pPr>
          </w:p>
        </w:tc>
        <w:tc>
          <w:tcPr>
            <w:tcW w:w="1276" w:type="dxa"/>
          </w:tcPr>
          <w:p>
            <w:pPr>
              <w:ind w:right="2014" w:rightChars="959"/>
              <w:jc w:val="center"/>
              <w:rPr>
                <w:rFonts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4</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宋体"/>
                <w:color w:val="0000FF"/>
                <w:sz w:val="24"/>
              </w:rPr>
            </w:pPr>
          </w:p>
        </w:tc>
        <w:tc>
          <w:tcPr>
            <w:tcW w:w="1276" w:type="dxa"/>
          </w:tcPr>
          <w:p>
            <w:pPr>
              <w:ind w:right="2014" w:rightChars="959"/>
              <w:jc w:val="center"/>
              <w:rPr>
                <w:rFonts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5</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宋体"/>
                <w:color w:val="0000FF"/>
                <w:sz w:val="24"/>
              </w:rPr>
            </w:pPr>
          </w:p>
        </w:tc>
        <w:tc>
          <w:tcPr>
            <w:tcW w:w="1276" w:type="dxa"/>
          </w:tcPr>
          <w:p>
            <w:pPr>
              <w:ind w:right="2014" w:rightChars="959"/>
              <w:jc w:val="center"/>
              <w:rPr>
                <w:rFonts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6</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宋体"/>
                <w:color w:val="0000FF"/>
                <w:sz w:val="24"/>
              </w:rPr>
            </w:pPr>
          </w:p>
        </w:tc>
        <w:tc>
          <w:tcPr>
            <w:tcW w:w="1276" w:type="dxa"/>
          </w:tcPr>
          <w:p>
            <w:pPr>
              <w:ind w:right="2014" w:rightChars="959"/>
              <w:jc w:val="center"/>
              <w:rPr>
                <w:rFonts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7</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宋体"/>
                <w:color w:val="0000FF"/>
                <w:sz w:val="24"/>
              </w:rPr>
            </w:pPr>
          </w:p>
        </w:tc>
        <w:tc>
          <w:tcPr>
            <w:tcW w:w="1276" w:type="dxa"/>
          </w:tcPr>
          <w:p>
            <w:pPr>
              <w:ind w:right="2014" w:rightChars="959"/>
              <w:jc w:val="center"/>
              <w:rPr>
                <w:rFonts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8</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宋体"/>
                <w:color w:val="0000FF"/>
                <w:sz w:val="24"/>
              </w:rPr>
            </w:pPr>
          </w:p>
        </w:tc>
        <w:tc>
          <w:tcPr>
            <w:tcW w:w="1276" w:type="dxa"/>
          </w:tcPr>
          <w:p>
            <w:pPr>
              <w:ind w:right="2014" w:rightChars="959"/>
              <w:jc w:val="center"/>
              <w:rPr>
                <w:rFonts w:ascii="宋体" w:hAnsi="宋体" w:eastAsia="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sz w:val="24"/>
              </w:rPr>
            </w:pPr>
            <w:r>
              <w:rPr>
                <w:rFonts w:hint="eastAsia" w:ascii="宋体" w:hAnsi="宋体" w:eastAsia="宋体" w:cs="仿宋_GB2312"/>
                <w:color w:val="000000"/>
                <w:sz w:val="24"/>
              </w:rPr>
              <w:t>1</w:t>
            </w:r>
            <w:r>
              <w:rPr>
                <w:rFonts w:ascii="宋体" w:hAnsi="宋体" w:eastAsia="宋体" w:cs="仿宋_GB2312"/>
                <w:color w:val="000000"/>
                <w:sz w:val="24"/>
              </w:rPr>
              <w:t>9</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仿宋_GB2312"/>
                <w:color w:val="000000"/>
                <w:sz w:val="24"/>
              </w:rPr>
            </w:pPr>
          </w:p>
        </w:tc>
        <w:tc>
          <w:tcPr>
            <w:tcW w:w="1276" w:type="dxa"/>
          </w:tcPr>
          <w:p>
            <w:pPr>
              <w:ind w:right="2014" w:rightChars="959"/>
              <w:jc w:val="center"/>
              <w:rPr>
                <w:rFonts w:ascii="宋体" w:hAnsi="宋体" w:eastAsia="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pPr>
              <w:widowControl/>
              <w:jc w:val="center"/>
              <w:textAlignment w:val="center"/>
              <w:rPr>
                <w:rFonts w:ascii="宋体" w:hAnsi="宋体" w:eastAsia="宋体" w:cs="仿宋_GB2312"/>
                <w:color w:val="000000"/>
                <w:sz w:val="24"/>
              </w:rPr>
            </w:pPr>
            <w:r>
              <w:rPr>
                <w:rFonts w:hint="eastAsia" w:ascii="宋体" w:hAnsi="宋体" w:eastAsia="宋体" w:cs="仿宋_GB2312"/>
                <w:color w:val="000000"/>
                <w:sz w:val="24"/>
              </w:rPr>
              <w:t>2</w:t>
            </w:r>
            <w:r>
              <w:rPr>
                <w:rFonts w:ascii="宋体" w:hAnsi="宋体" w:eastAsia="宋体" w:cs="仿宋_GB2312"/>
                <w:color w:val="000000"/>
                <w:sz w:val="24"/>
              </w:rPr>
              <w:t>0</w:t>
            </w:r>
          </w:p>
        </w:tc>
        <w:tc>
          <w:tcPr>
            <w:tcW w:w="1035" w:type="dxa"/>
            <w:shd w:val="clear" w:color="auto" w:fill="auto"/>
            <w:vAlign w:val="center"/>
          </w:tcPr>
          <w:p>
            <w:pPr>
              <w:widowControl/>
              <w:jc w:val="center"/>
              <w:textAlignment w:val="center"/>
              <w:rPr>
                <w:rFonts w:ascii="宋体" w:hAnsi="宋体" w:eastAsia="宋体" w:cs="仿宋_GB2312"/>
                <w:color w:val="000000"/>
                <w:sz w:val="24"/>
              </w:rPr>
            </w:pPr>
          </w:p>
        </w:tc>
        <w:tc>
          <w:tcPr>
            <w:tcW w:w="709" w:type="dxa"/>
            <w:shd w:val="clear" w:color="auto" w:fill="auto"/>
            <w:vAlign w:val="center"/>
          </w:tcPr>
          <w:p>
            <w:pPr>
              <w:widowControl/>
              <w:jc w:val="center"/>
              <w:textAlignment w:val="center"/>
              <w:rPr>
                <w:rFonts w:ascii="宋体" w:hAnsi="宋体" w:eastAsia="宋体" w:cs="仿宋_GB2312"/>
                <w:color w:val="000000"/>
                <w:sz w:val="24"/>
              </w:rPr>
            </w:pPr>
          </w:p>
        </w:tc>
        <w:tc>
          <w:tcPr>
            <w:tcW w:w="1417" w:type="dxa"/>
            <w:vAlign w:val="center"/>
          </w:tcPr>
          <w:p>
            <w:pPr>
              <w:jc w:val="center"/>
              <w:rPr>
                <w:rFonts w:ascii="宋体" w:hAnsi="宋体" w:eastAsia="宋体" w:cs="仿宋_GB2312"/>
                <w:color w:val="000000"/>
                <w:sz w:val="24"/>
              </w:rPr>
            </w:pPr>
          </w:p>
        </w:tc>
        <w:tc>
          <w:tcPr>
            <w:tcW w:w="1276" w:type="dxa"/>
            <w:vAlign w:val="center"/>
          </w:tcPr>
          <w:p>
            <w:pPr>
              <w:jc w:val="center"/>
              <w:rPr>
                <w:rFonts w:ascii="宋体" w:hAnsi="宋体" w:eastAsia="宋体" w:cs="仿宋_GB2312"/>
                <w:color w:val="000000"/>
                <w:sz w:val="24"/>
              </w:rPr>
            </w:pPr>
          </w:p>
        </w:tc>
        <w:tc>
          <w:tcPr>
            <w:tcW w:w="1559" w:type="dxa"/>
            <w:shd w:val="clear" w:color="auto" w:fill="auto"/>
            <w:vAlign w:val="center"/>
          </w:tcPr>
          <w:p>
            <w:pPr>
              <w:jc w:val="center"/>
              <w:rPr>
                <w:rFonts w:ascii="宋体" w:hAnsi="宋体" w:eastAsia="宋体" w:cs="仿宋_GB2312"/>
                <w:color w:val="000000"/>
                <w:sz w:val="24"/>
              </w:rPr>
            </w:pPr>
          </w:p>
        </w:tc>
        <w:tc>
          <w:tcPr>
            <w:tcW w:w="993" w:type="dxa"/>
            <w:shd w:val="clear" w:color="auto" w:fill="auto"/>
            <w:vAlign w:val="center"/>
          </w:tcPr>
          <w:p>
            <w:pPr>
              <w:jc w:val="center"/>
              <w:rPr>
                <w:rFonts w:ascii="宋体" w:hAnsi="宋体" w:eastAsia="宋体" w:cs="仿宋_GB2312"/>
                <w:color w:val="000000"/>
                <w:sz w:val="24"/>
              </w:rPr>
            </w:pPr>
          </w:p>
        </w:tc>
        <w:tc>
          <w:tcPr>
            <w:tcW w:w="992" w:type="dxa"/>
            <w:shd w:val="clear" w:color="auto" w:fill="auto"/>
            <w:vAlign w:val="center"/>
          </w:tcPr>
          <w:p>
            <w:pPr>
              <w:jc w:val="center"/>
              <w:rPr>
                <w:rFonts w:ascii="宋体" w:hAnsi="宋体" w:eastAsia="宋体" w:cs="仿宋_GB2312"/>
                <w:color w:val="000000"/>
                <w:sz w:val="24"/>
              </w:rPr>
            </w:pPr>
          </w:p>
        </w:tc>
        <w:tc>
          <w:tcPr>
            <w:tcW w:w="1276" w:type="dxa"/>
          </w:tcPr>
          <w:p>
            <w:pPr>
              <w:ind w:right="2014" w:rightChars="959"/>
              <w:jc w:val="center"/>
              <w:rPr>
                <w:rFonts w:ascii="宋体" w:hAnsi="宋体" w:eastAsia="宋体" w:cs="仿宋_GB2312"/>
                <w:color w:val="000000"/>
                <w:sz w:val="24"/>
              </w:rPr>
            </w:pPr>
          </w:p>
        </w:tc>
      </w:tr>
    </w:tbl>
    <w:p>
      <w:pPr>
        <w:jc w:val="left"/>
        <w:rPr>
          <w:rFonts w:ascii="宋体" w:hAnsi="宋体" w:eastAsia="宋体" w:cs="Times New Roman"/>
          <w:color w:val="000000"/>
          <w:sz w:val="30"/>
          <w:szCs w:val="30"/>
        </w:rPr>
        <w:sectPr>
          <w:pgSz w:w="11906" w:h="16838"/>
          <w:pgMar w:top="1383" w:right="612" w:bottom="1383" w:left="952" w:header="851" w:footer="992" w:gutter="0"/>
          <w:cols w:space="0" w:num="1"/>
          <w:docGrid w:type="lines" w:linePitch="312" w:charSpace="0"/>
        </w:sectPr>
      </w:pPr>
    </w:p>
    <w:p>
      <w:pPr>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附件</w:t>
      </w:r>
      <w:r>
        <w:rPr>
          <w:rFonts w:hint="eastAsia" w:ascii="仿宋" w:hAnsi="仿宋" w:eastAsia="仿宋" w:cs="Times New Roman"/>
          <w:color w:val="000000"/>
          <w:sz w:val="32"/>
          <w:szCs w:val="32"/>
          <w:lang w:val="en-US" w:eastAsia="zh-CN"/>
        </w:rPr>
        <w:t>5</w:t>
      </w:r>
    </w:p>
    <w:p>
      <w:pPr>
        <w:jc w:val="center"/>
        <w:rPr>
          <w:rFonts w:ascii="仿宋" w:hAnsi="仿宋" w:eastAsia="仿宋" w:cs="Times New Roman"/>
          <w:b/>
          <w:sz w:val="32"/>
          <w:szCs w:val="32"/>
        </w:rPr>
      </w:pPr>
      <w:r>
        <w:rPr>
          <w:rFonts w:hint="eastAsia" w:ascii="仿宋" w:hAnsi="仿宋" w:eastAsia="仿宋" w:cs="Times New Roman"/>
          <w:b/>
          <w:sz w:val="32"/>
          <w:szCs w:val="32"/>
        </w:rPr>
        <w:t>党组织建设及开展工作信息表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1407"/>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textAlignment w:val="center"/>
              <w:rPr>
                <w:rFonts w:ascii="宋体" w:hAnsi="宋体" w:eastAsia="宋体" w:cs="Times New Roman"/>
                <w:color w:val="000000"/>
                <w:sz w:val="32"/>
                <w:szCs w:val="32"/>
              </w:rPr>
            </w:pPr>
            <w:r>
              <w:rPr>
                <w:rFonts w:hint="eastAsia" w:ascii="仿宋" w:hAnsi="仿宋" w:eastAsia="仿宋" w:cs="仿宋_GB2312"/>
                <w:bCs/>
                <w:color w:val="000000"/>
                <w:sz w:val="24"/>
              </w:rPr>
              <w:t>基层党组织名称</w:t>
            </w:r>
          </w:p>
        </w:tc>
        <w:tc>
          <w:tcPr>
            <w:tcW w:w="2835" w:type="dxa"/>
            <w:vAlign w:val="center"/>
          </w:tcPr>
          <w:p>
            <w:pPr>
              <w:jc w:val="left"/>
              <w:rPr>
                <w:rFonts w:ascii="宋体" w:hAnsi="宋体" w:eastAsia="宋体" w:cs="Times New Roman"/>
                <w:color w:val="000000"/>
                <w:sz w:val="32"/>
                <w:szCs w:val="32"/>
              </w:rPr>
            </w:pPr>
          </w:p>
        </w:tc>
        <w:tc>
          <w:tcPr>
            <w:tcW w:w="1407" w:type="dxa"/>
            <w:vAlign w:val="center"/>
          </w:tcPr>
          <w:p>
            <w:pPr>
              <w:jc w:val="center"/>
              <w:rPr>
                <w:rFonts w:ascii="仿宋" w:hAnsi="仿宋" w:eastAsia="仿宋" w:cs="仿宋_GB2312"/>
                <w:bCs/>
                <w:color w:val="000000"/>
                <w:sz w:val="24"/>
              </w:rPr>
            </w:pPr>
            <w:r>
              <w:rPr>
                <w:rFonts w:hint="eastAsia" w:ascii="仿宋" w:hAnsi="仿宋" w:eastAsia="仿宋" w:cs="仿宋_GB2312"/>
                <w:bCs/>
                <w:color w:val="000000"/>
                <w:sz w:val="24"/>
              </w:rPr>
              <w:t>成立日期</w:t>
            </w:r>
          </w:p>
        </w:tc>
        <w:tc>
          <w:tcPr>
            <w:tcW w:w="2074" w:type="dxa"/>
            <w:vAlign w:val="center"/>
          </w:tcPr>
          <w:p>
            <w:pPr>
              <w:jc w:val="left"/>
              <w:rPr>
                <w:rFonts w:ascii="宋体" w:hAnsi="宋体" w:eastAsia="宋体" w:cs="Times New Roman"/>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jc w:val="left"/>
              <w:rPr>
                <w:rFonts w:ascii="宋体" w:hAnsi="宋体" w:eastAsia="宋体" w:cs="Times New Roman"/>
                <w:color w:val="000000"/>
                <w:sz w:val="32"/>
                <w:szCs w:val="32"/>
              </w:rPr>
            </w:pPr>
            <w:r>
              <w:rPr>
                <w:rFonts w:hint="eastAsia" w:ascii="仿宋" w:hAnsi="仿宋" w:eastAsia="仿宋" w:cs="仿宋_GB2312"/>
                <w:bCs/>
                <w:color w:val="000000"/>
                <w:sz w:val="24"/>
              </w:rPr>
              <w:t>上级党组织名称</w:t>
            </w:r>
          </w:p>
        </w:tc>
        <w:tc>
          <w:tcPr>
            <w:tcW w:w="2835" w:type="dxa"/>
            <w:vAlign w:val="center"/>
          </w:tcPr>
          <w:p>
            <w:pPr>
              <w:jc w:val="left"/>
              <w:rPr>
                <w:rFonts w:ascii="宋体" w:hAnsi="宋体" w:eastAsia="宋体" w:cs="Times New Roman"/>
                <w:b/>
                <w:color w:val="000000"/>
                <w:sz w:val="32"/>
                <w:szCs w:val="32"/>
              </w:rPr>
            </w:pPr>
          </w:p>
        </w:tc>
        <w:tc>
          <w:tcPr>
            <w:tcW w:w="1407" w:type="dxa"/>
            <w:vAlign w:val="center"/>
          </w:tcPr>
          <w:p>
            <w:pPr>
              <w:jc w:val="center"/>
              <w:rPr>
                <w:rFonts w:ascii="仿宋" w:hAnsi="仿宋" w:eastAsia="仿宋" w:cs="仿宋_GB2312"/>
                <w:bCs/>
                <w:color w:val="000000"/>
                <w:sz w:val="24"/>
              </w:rPr>
            </w:pPr>
            <w:r>
              <w:rPr>
                <w:rFonts w:hint="eastAsia" w:ascii="仿宋" w:hAnsi="仿宋" w:eastAsia="仿宋" w:cs="仿宋_GB2312"/>
                <w:bCs/>
                <w:color w:val="000000"/>
                <w:sz w:val="24"/>
              </w:rPr>
              <w:t>党员人数</w:t>
            </w:r>
          </w:p>
        </w:tc>
        <w:tc>
          <w:tcPr>
            <w:tcW w:w="2074" w:type="dxa"/>
            <w:vAlign w:val="center"/>
          </w:tcPr>
          <w:p>
            <w:pPr>
              <w:jc w:val="left"/>
              <w:rPr>
                <w:rFonts w:ascii="宋体" w:hAnsi="宋体" w:eastAsia="宋体" w:cs="Times New Roman"/>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jc w:val="center"/>
              <w:rPr>
                <w:rFonts w:ascii="仿宋" w:hAnsi="仿宋" w:eastAsia="仿宋" w:cs="仿宋_GB2312"/>
                <w:bCs/>
                <w:color w:val="000000"/>
                <w:sz w:val="24"/>
              </w:rPr>
            </w:pPr>
            <w:r>
              <w:rPr>
                <w:rFonts w:hint="eastAsia" w:ascii="仿宋" w:hAnsi="仿宋" w:eastAsia="仿宋" w:cs="仿宋_GB2312"/>
                <w:bCs/>
                <w:color w:val="000000"/>
                <w:sz w:val="24"/>
              </w:rPr>
              <w:t>党务工作者</w:t>
            </w:r>
          </w:p>
        </w:tc>
        <w:tc>
          <w:tcPr>
            <w:tcW w:w="2835" w:type="dxa"/>
            <w:vAlign w:val="center"/>
          </w:tcPr>
          <w:p>
            <w:pPr>
              <w:jc w:val="left"/>
              <w:rPr>
                <w:rFonts w:ascii="宋体" w:hAnsi="宋体" w:eastAsia="宋体" w:cs="Times New Roman"/>
                <w:b/>
                <w:color w:val="000000"/>
                <w:sz w:val="32"/>
                <w:szCs w:val="32"/>
              </w:rPr>
            </w:pPr>
          </w:p>
        </w:tc>
        <w:tc>
          <w:tcPr>
            <w:tcW w:w="1407" w:type="dxa"/>
            <w:vAlign w:val="center"/>
          </w:tcPr>
          <w:p>
            <w:pPr>
              <w:jc w:val="center"/>
              <w:rPr>
                <w:rFonts w:ascii="仿宋" w:hAnsi="仿宋" w:eastAsia="仿宋" w:cs="仿宋_GB2312"/>
                <w:bCs/>
                <w:color w:val="000000"/>
                <w:sz w:val="24"/>
              </w:rPr>
            </w:pPr>
          </w:p>
        </w:tc>
        <w:tc>
          <w:tcPr>
            <w:tcW w:w="2074" w:type="dxa"/>
            <w:vAlign w:val="center"/>
          </w:tcPr>
          <w:p>
            <w:pPr>
              <w:jc w:val="left"/>
              <w:rPr>
                <w:rFonts w:ascii="宋体" w:hAnsi="宋体" w:eastAsia="宋体" w:cs="Times New Roman"/>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1" w:hRule="atLeast"/>
          <w:jc w:val="center"/>
        </w:trPr>
        <w:tc>
          <w:tcPr>
            <w:tcW w:w="8296" w:type="dxa"/>
            <w:gridSpan w:val="4"/>
          </w:tcPr>
          <w:p>
            <w:pPr>
              <w:jc w:val="left"/>
              <w:rPr>
                <w:rFonts w:ascii="宋体" w:hAnsi="宋体" w:eastAsia="宋体" w:cs="Times New Roman"/>
                <w:b/>
                <w:color w:val="000000"/>
                <w:sz w:val="32"/>
                <w:szCs w:val="32"/>
              </w:rPr>
            </w:pPr>
            <w:r>
              <w:rPr>
                <w:rFonts w:hint="eastAsia" w:ascii="仿宋" w:hAnsi="仿宋" w:eastAsia="仿宋" w:cs="仿宋_GB2312"/>
                <w:bCs/>
                <w:color w:val="000000"/>
                <w:sz w:val="24"/>
              </w:rPr>
              <w:t>“三会一课”开展情况：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9" w:hRule="atLeast"/>
          <w:jc w:val="center"/>
        </w:trPr>
        <w:tc>
          <w:tcPr>
            <w:tcW w:w="8296" w:type="dxa"/>
            <w:gridSpan w:val="4"/>
          </w:tcPr>
          <w:p>
            <w:pPr>
              <w:jc w:val="left"/>
              <w:rPr>
                <w:rFonts w:ascii="宋体" w:hAnsi="宋体" w:eastAsia="宋体" w:cs="Times New Roman"/>
                <w:b/>
                <w:color w:val="000000"/>
                <w:sz w:val="32"/>
                <w:szCs w:val="32"/>
              </w:rPr>
            </w:pPr>
            <w:r>
              <w:rPr>
                <w:rFonts w:hint="eastAsia" w:ascii="仿宋" w:hAnsi="仿宋" w:eastAsia="仿宋" w:cs="仿宋_GB2312"/>
                <w:bCs/>
                <w:color w:val="000000"/>
                <w:sz w:val="24"/>
              </w:rPr>
              <w:t>组织生活会、民主生活会开展情况：</w:t>
            </w:r>
          </w:p>
        </w:tc>
      </w:tr>
    </w:tbl>
    <w:p>
      <w:pPr>
        <w:jc w:val="left"/>
        <w:rPr>
          <w:rFonts w:ascii="宋体" w:hAnsi="宋体" w:eastAsia="宋体" w:cs="Times New Roman"/>
          <w:color w:val="000000"/>
          <w:sz w:val="30"/>
          <w:szCs w:val="30"/>
        </w:rPr>
      </w:pPr>
    </w:p>
    <w:p>
      <w:pPr>
        <w:rPr>
          <w:rFonts w:asciiTheme="minorEastAsia" w:hAnsiTheme="minorEastAsia" w:cstheme="minorEastAsia"/>
          <w:sz w:val="28"/>
          <w:szCs w:val="28"/>
        </w:rPr>
      </w:pPr>
    </w:p>
    <w:sectPr>
      <w:pgSz w:w="11906" w:h="16838"/>
      <w:pgMar w:top="1440" w:right="1746" w:bottom="138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8077345"/>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tabs>
        <w:tab w:val="center" w:pos="4153"/>
        <w:tab w:val="right" w:pos="8306"/>
      </w:tabs>
      <w:snapToGrid w:val="0"/>
      <w:jc w:val="left"/>
      <w:rPr>
        <w:rFonts w:ascii="Calibri" w:hAnsi="Calibri"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IwY2ZlOGIzOWM1ZTM2Mzk2NDUyZjFkMjJlZjY3MTYifQ=="/>
  </w:docVars>
  <w:rsids>
    <w:rsidRoot w:val="7E2B7C89"/>
    <w:rsid w:val="0055295D"/>
    <w:rsid w:val="005F5026"/>
    <w:rsid w:val="00625420"/>
    <w:rsid w:val="0072120F"/>
    <w:rsid w:val="008742B0"/>
    <w:rsid w:val="0090766C"/>
    <w:rsid w:val="009B75FA"/>
    <w:rsid w:val="009C4455"/>
    <w:rsid w:val="00A76AC0"/>
    <w:rsid w:val="00A808E1"/>
    <w:rsid w:val="00EA415C"/>
    <w:rsid w:val="06090798"/>
    <w:rsid w:val="077235F0"/>
    <w:rsid w:val="0AF2368C"/>
    <w:rsid w:val="0B504A3B"/>
    <w:rsid w:val="1D7A639C"/>
    <w:rsid w:val="1E0503D8"/>
    <w:rsid w:val="23983A20"/>
    <w:rsid w:val="2ABE6D7F"/>
    <w:rsid w:val="31FB6C6B"/>
    <w:rsid w:val="34405134"/>
    <w:rsid w:val="385D5E55"/>
    <w:rsid w:val="39F1772A"/>
    <w:rsid w:val="40E045E4"/>
    <w:rsid w:val="42B82BA9"/>
    <w:rsid w:val="497A7BCC"/>
    <w:rsid w:val="5191483B"/>
    <w:rsid w:val="56AE1ACF"/>
    <w:rsid w:val="59737869"/>
    <w:rsid w:val="5C8C5431"/>
    <w:rsid w:val="609621D0"/>
    <w:rsid w:val="6A0E1317"/>
    <w:rsid w:val="6ED4490B"/>
    <w:rsid w:val="6ED725C3"/>
    <w:rsid w:val="798C760B"/>
    <w:rsid w:val="7E2B7C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99"/>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8">
    <w:name w:val="Hyperlink"/>
    <w:basedOn w:val="7"/>
    <w:uiPriority w:val="0"/>
    <w:rPr>
      <w:color w:val="0000FF"/>
      <w:u w:val="single"/>
    </w:rPr>
  </w:style>
  <w:style w:type="character" w:customStyle="1" w:styleId="9">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2"/>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CCTAA</Company>
  <Pages>17</Pages>
  <Words>3651</Words>
  <Characters>3945</Characters>
  <Lines>207</Lines>
  <Paragraphs>165</Paragraphs>
  <TotalTime>3</TotalTime>
  <ScaleCrop>false</ScaleCrop>
  <LinksUpToDate>false</LinksUpToDate>
  <CharactersWithSpaces>7431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2022-06-28T01:08:00Z</dcterms:created>
  <dc:creator>黄宏斌</dc:creator>
  <cp:lastModifiedBy>诗歌文清</cp:lastModifiedBy>
  <dcterms:modified xsi:type="dcterms:W3CDTF">2024-05-08T10:25:23Z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7DD5B41744154DEBAB3B66DD6B586D38</vt:lpwstr>
  </property>
</Properties>
</file>