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简体" w:hAnsi="方正大标宋简体" w:eastAsia="方正大标宋简体" w:cs="方正大标宋简体"/>
          <w:b/>
          <w:bCs/>
          <w:color w:val="FFFF00"/>
          <w:sz w:val="44"/>
          <w:szCs w:val="44"/>
          <w:highlight w:val="red"/>
          <w:lang w:eastAsia="zh-CN"/>
        </w:rPr>
      </w:pPr>
    </w:p>
    <w:p>
      <w:pPr>
        <w:jc w:val="center"/>
        <w:rPr>
          <w:rFonts w:hint="eastAsia" w:ascii="方正大标宋简体" w:hAnsi="方正大标宋简体" w:eastAsia="方正大标宋简体" w:cs="方正大标宋简体"/>
          <w:b/>
          <w:bCs/>
          <w:color w:val="FFFF00"/>
          <w:sz w:val="44"/>
          <w:szCs w:val="44"/>
          <w:highlight w:val="red"/>
          <w:lang w:eastAsia="zh-CN"/>
        </w:rPr>
      </w:pPr>
    </w:p>
    <w:p>
      <w:pPr>
        <w:jc w:val="center"/>
        <w:rPr>
          <w:rFonts w:hint="eastAsia" w:ascii="方正大标宋简体" w:hAnsi="方正大标宋简体" w:eastAsia="方正大标宋简体" w:cs="方正大标宋简体"/>
          <w:b/>
          <w:bCs/>
          <w:color w:val="FFFF00"/>
          <w:sz w:val="44"/>
          <w:szCs w:val="44"/>
          <w:highlight w:val="red"/>
          <w:lang w:eastAsia="zh-CN"/>
        </w:rPr>
      </w:pPr>
      <w:r>
        <w:rPr>
          <w:rFonts w:hint="eastAsia" w:ascii="方正大标宋简体" w:hAnsi="方正大标宋简体" w:eastAsia="方正大标宋简体" w:cs="方正大标宋简体"/>
          <w:b/>
          <w:bCs/>
          <w:color w:val="FFFF00"/>
          <w:sz w:val="44"/>
          <w:szCs w:val="44"/>
          <w:highlight w:val="red"/>
          <w:lang w:eastAsia="zh-CN"/>
        </w:rPr>
        <w:t>限售股个人所得税相关政策</w:t>
      </w:r>
    </w:p>
    <w:p>
      <w:pPr>
        <w:jc w:val="center"/>
        <w:rPr>
          <w:rFonts w:hint="eastAsia" w:ascii="方正大标宋简体" w:hAnsi="方正大标宋简体" w:eastAsia="方正大标宋简体" w:cs="方正大标宋简体"/>
          <w:b/>
          <w:bCs/>
          <w:color w:val="454545"/>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firstLine="481" w:firstLineChars="200"/>
        <w:jc w:val="both"/>
        <w:textAlignment w:val="auto"/>
        <w:rPr>
          <w:rFonts w:hint="eastAsia" w:ascii="方正楷体_GBK" w:hAnsi="方正楷体_GBK" w:eastAsia="方正楷体_GBK" w:cs="方正楷体_GBK"/>
          <w:b/>
          <w:bCs/>
          <w:color w:val="000000" w:themeColor="text1"/>
          <w:sz w:val="24"/>
          <w:szCs w:val="24"/>
          <w:lang w:val="en-US" w:eastAsia="zh-CN"/>
          <w14:textFill>
            <w14:solidFill>
              <w14:schemeClr w14:val="tx1"/>
            </w14:solidFill>
          </w14:textFill>
        </w:rPr>
      </w:pPr>
      <w:r>
        <w:rPr>
          <w:rFonts w:hint="eastAsia" w:ascii="方正大标宋简体" w:hAnsi="方正大标宋简体" w:eastAsia="方正大标宋简体" w:cs="方正大标宋简体"/>
          <w:b/>
          <w:bCs/>
          <w:color w:val="454545"/>
          <w:sz w:val="24"/>
          <w:szCs w:val="24"/>
        </w:rPr>
        <w:t>财政部 国家税务总局 证监会关于个人</w:t>
      </w:r>
      <w:r>
        <w:rPr>
          <w:rFonts w:hint="eastAsia" w:ascii="方正大标宋简体" w:hAnsi="方正大标宋简体" w:eastAsia="方正大标宋简体" w:cs="方正大标宋简体"/>
          <w:b/>
          <w:bCs/>
          <w:color w:val="FF0000"/>
          <w:sz w:val="24"/>
          <w:szCs w:val="24"/>
          <w:highlight w:val="cyan"/>
          <w:u w:val="none"/>
        </w:rPr>
        <w:t>转让上市公司限售股所得</w:t>
      </w:r>
      <w:r>
        <w:rPr>
          <w:rFonts w:hint="eastAsia" w:ascii="方正大标宋简体" w:hAnsi="方正大标宋简体" w:eastAsia="方正大标宋简体" w:cs="方正大标宋简体"/>
          <w:b/>
          <w:bCs/>
          <w:color w:val="454545"/>
          <w:sz w:val="24"/>
          <w:szCs w:val="24"/>
        </w:rPr>
        <w:t>征收个人所得税有关问题的通知</w:t>
      </w:r>
      <w:r>
        <w:rPr>
          <w:rFonts w:hint="eastAsia" w:ascii="方正大标宋简体" w:hAnsi="方正大标宋简体" w:eastAsia="方正大标宋简体" w:cs="方正大标宋简体"/>
          <w:b/>
          <w:bCs/>
          <w:color w:val="454545"/>
          <w:sz w:val="24"/>
          <w:szCs w:val="24"/>
          <w:lang w:eastAsia="zh-CN"/>
        </w:rPr>
        <w:t>　</w:t>
      </w:r>
      <w:r>
        <w:rPr>
          <w:rFonts w:hint="eastAsia" w:ascii="黑体" w:hAnsi="黑体" w:eastAsia="黑体" w:cs="黑体"/>
          <w:b/>
          <w:bCs/>
          <w:color w:val="FF0000"/>
          <w:sz w:val="24"/>
          <w:szCs w:val="24"/>
          <w:highlight w:val="yellow"/>
        </w:rPr>
        <w:t>财税〔2009〕167号</w:t>
      </w:r>
      <w:r>
        <w:rPr>
          <w:rFonts w:hint="eastAsia" w:ascii="黑体" w:hAnsi="黑体" w:eastAsia="黑体" w:cs="黑体"/>
          <w:b/>
          <w:bCs/>
          <w:color w:val="FF0000"/>
          <w:sz w:val="24"/>
          <w:szCs w:val="24"/>
          <w:lang w:val="en-US" w:eastAsia="zh-CN"/>
        </w:rPr>
        <w:t xml:space="preserve"> </w:t>
      </w:r>
      <w:r>
        <w:rPr>
          <w:rFonts w:hint="eastAsia" w:ascii="方正楷体_GBK" w:hAnsi="方正楷体_GBK" w:eastAsia="方正楷体_GBK" w:cs="方正楷体_GBK"/>
          <w:b/>
          <w:bCs/>
          <w:color w:val="000000" w:themeColor="text1"/>
          <w:sz w:val="24"/>
          <w:szCs w:val="24"/>
          <w:lang w:val="en-US" w:eastAsia="zh-CN"/>
          <w14:textFill>
            <w14:solidFill>
              <w14:schemeClr w14:val="tx1"/>
            </w14:solidFill>
          </w14:textFill>
        </w:rPr>
        <w:t xml:space="preserve"> 2009年12月31日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481" w:firstLineChars="200"/>
        <w:jc w:val="both"/>
        <w:textAlignment w:val="auto"/>
        <w:rPr>
          <w:rFonts w:hint="eastAsia" w:ascii="黑体" w:hAnsi="黑体" w:eastAsia="黑体" w:cs="黑体"/>
          <w:b/>
          <w:bCs/>
          <w:color w:val="000000" w:themeColor="text1"/>
          <w:sz w:val="24"/>
          <w:szCs w:val="24"/>
          <w:highlight w:val="none"/>
          <w:lang w:val="en-US" w:eastAsia="zh-CN"/>
          <w14:textFill>
            <w14:solidFill>
              <w14:schemeClr w14:val="tx1"/>
            </w14:solidFill>
          </w14:textFill>
        </w:rPr>
      </w:pPr>
      <w:r>
        <w:rPr>
          <w:rFonts w:hint="eastAsia" w:ascii="方正大标宋简体" w:hAnsi="方正大标宋简体" w:eastAsia="方正大标宋简体" w:cs="方正大标宋简体"/>
          <w:b/>
          <w:bCs/>
          <w:color w:val="454545"/>
          <w:sz w:val="24"/>
          <w:szCs w:val="24"/>
          <w:lang w:val="en-US" w:eastAsia="zh-CN"/>
        </w:rPr>
        <w:t>2.</w:t>
      </w:r>
      <w:r>
        <w:rPr>
          <w:rFonts w:hint="eastAsia" w:ascii="方正大标宋简体" w:hAnsi="方正大标宋简体" w:eastAsia="方正大标宋简体" w:cs="方正大标宋简体"/>
          <w:b/>
          <w:bCs/>
          <w:color w:val="454545"/>
          <w:sz w:val="24"/>
          <w:szCs w:val="24"/>
        </w:rPr>
        <w:t>财政部 国家税务总局 证监会关于个人转让上市公司</w:t>
      </w:r>
      <w:r>
        <w:rPr>
          <w:rFonts w:hint="eastAsia" w:ascii="方正大标宋简体" w:hAnsi="方正大标宋简体" w:eastAsia="方正大标宋简体" w:cs="方正大标宋简体"/>
          <w:b/>
          <w:bCs/>
          <w:color w:val="FF0000"/>
          <w:sz w:val="24"/>
          <w:szCs w:val="24"/>
        </w:rPr>
        <w:t>限售股所得</w:t>
      </w:r>
      <w:r>
        <w:rPr>
          <w:rFonts w:hint="eastAsia" w:ascii="方正大标宋简体" w:hAnsi="方正大标宋简体" w:eastAsia="方正大标宋简体" w:cs="方正大标宋简体"/>
          <w:b/>
          <w:bCs/>
          <w:color w:val="454545"/>
          <w:sz w:val="24"/>
          <w:szCs w:val="24"/>
        </w:rPr>
        <w:t>征收个人所得税有关问题的补充通知</w:t>
      </w:r>
      <w:r>
        <w:rPr>
          <w:rFonts w:hint="eastAsia" w:ascii="方正大标宋简体" w:hAnsi="方正大标宋简体" w:eastAsia="方正大标宋简体" w:cs="方正大标宋简体"/>
          <w:b/>
          <w:bCs/>
          <w:color w:val="454545"/>
          <w:sz w:val="24"/>
          <w:szCs w:val="24"/>
          <w:lang w:eastAsia="zh-CN"/>
        </w:rPr>
        <w:t>　</w:t>
      </w:r>
      <w:r>
        <w:rPr>
          <w:rFonts w:hint="eastAsia" w:ascii="黑体" w:hAnsi="黑体" w:eastAsia="黑体" w:cs="黑体"/>
          <w:b/>
          <w:bCs/>
          <w:color w:val="DF0000"/>
          <w:sz w:val="24"/>
          <w:szCs w:val="24"/>
          <w:highlight w:val="yellow"/>
        </w:rPr>
        <w:t>财税〔2010〕70号</w:t>
      </w:r>
      <w:r>
        <w:rPr>
          <w:rFonts w:hint="eastAsia" w:ascii="黑体" w:hAnsi="黑体" w:eastAsia="黑体" w:cs="黑体"/>
          <w:b/>
          <w:bCs/>
          <w:color w:val="DF0000"/>
          <w:sz w:val="24"/>
          <w:szCs w:val="24"/>
          <w:highlight w:val="yellow"/>
          <w:lang w:val="en-US" w:eastAsia="zh-CN"/>
        </w:rPr>
        <w:t xml:space="preserve"> </w:t>
      </w:r>
      <w:r>
        <w:rPr>
          <w:rFonts w:hint="eastAsia" w:ascii="黑体" w:hAnsi="黑体" w:eastAsia="黑体" w:cs="黑体"/>
          <w:b/>
          <w:bCs/>
          <w:color w:val="000000" w:themeColor="text1"/>
          <w:sz w:val="24"/>
          <w:szCs w:val="24"/>
          <w:highlight w:val="none"/>
          <w:lang w:val="en-US" w:eastAsia="zh-CN"/>
          <w14:textFill>
            <w14:solidFill>
              <w14:schemeClr w14:val="tx1"/>
            </w14:solidFill>
          </w14:textFill>
        </w:rPr>
        <w:t xml:space="preserve"> 2010年11月10日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480" w:firstLineChars="200"/>
        <w:jc w:val="both"/>
        <w:textAlignment w:val="auto"/>
        <w:rPr>
          <w:rFonts w:hint="eastAsia" w:ascii="黑体" w:hAnsi="黑体" w:eastAsia="黑体" w:cs="黑体"/>
          <w:b/>
          <w:bCs/>
          <w:color w:val="000000" w:themeColor="text1"/>
          <w:sz w:val="24"/>
          <w:szCs w:val="24"/>
          <w:highlight w:val="none"/>
          <w:lang w:val="en-US" w:eastAsia="zh-CN"/>
          <w14:textFill>
            <w14:solidFill>
              <w14:schemeClr w14:val="tx1"/>
            </w14:solidFill>
          </w14:textFill>
        </w:rPr>
      </w:pPr>
      <w:r>
        <w:rPr>
          <w:rFonts w:hint="eastAsia" w:ascii="华文中宋" w:hAnsi="华文中宋" w:eastAsia="华文中宋" w:cs="华文中宋"/>
          <w:b/>
          <w:bCs/>
          <w:i w:val="0"/>
          <w:caps w:val="0"/>
          <w:color w:val="323534"/>
          <w:spacing w:val="0"/>
          <w:sz w:val="24"/>
          <w:szCs w:val="24"/>
          <w:u w:val="none"/>
          <w:shd w:val="clear" w:fill="FFFFFF"/>
          <w:lang w:val="en-US" w:eastAsia="zh-CN"/>
        </w:rPr>
        <w:t>3.</w:t>
      </w:r>
      <w:r>
        <w:rPr>
          <w:rFonts w:hint="eastAsia" w:ascii="华文中宋" w:hAnsi="华文中宋" w:eastAsia="华文中宋" w:cs="华文中宋"/>
          <w:b/>
          <w:bCs/>
          <w:i w:val="0"/>
          <w:caps w:val="0"/>
          <w:color w:val="323534"/>
          <w:spacing w:val="0"/>
          <w:sz w:val="24"/>
          <w:szCs w:val="24"/>
          <w:u w:val="none"/>
          <w:shd w:val="clear" w:fill="FFFFFF"/>
        </w:rPr>
        <w:t>国家税务总局关于企业转让上市公司</w:t>
      </w:r>
      <w:r>
        <w:rPr>
          <w:rFonts w:hint="eastAsia" w:ascii="华文中宋" w:hAnsi="华文中宋" w:eastAsia="华文中宋" w:cs="华文中宋"/>
          <w:b/>
          <w:bCs/>
          <w:i w:val="0"/>
          <w:caps w:val="0"/>
          <w:color w:val="FF0000"/>
          <w:spacing w:val="0"/>
          <w:sz w:val="24"/>
          <w:szCs w:val="24"/>
          <w:u w:val="none"/>
          <w:shd w:val="clear" w:fill="FFFFFF"/>
        </w:rPr>
        <w:t>限售股</w:t>
      </w:r>
      <w:r>
        <w:rPr>
          <w:rFonts w:hint="eastAsia" w:ascii="华文中宋" w:hAnsi="华文中宋" w:eastAsia="华文中宋" w:cs="华文中宋"/>
          <w:b/>
          <w:bCs/>
          <w:i w:val="0"/>
          <w:caps w:val="0"/>
          <w:color w:val="323534"/>
          <w:spacing w:val="0"/>
          <w:sz w:val="24"/>
          <w:szCs w:val="24"/>
          <w:u w:val="none"/>
          <w:shd w:val="clear" w:fill="FFFFFF"/>
        </w:rPr>
        <w:t>有关所得税问题的公告</w:t>
      </w:r>
      <w:r>
        <w:rPr>
          <w:rFonts w:hint="eastAsia" w:ascii="华文中宋" w:hAnsi="华文中宋" w:eastAsia="华文中宋" w:cs="华文中宋"/>
          <w:b/>
          <w:bCs/>
          <w:i w:val="0"/>
          <w:caps w:val="0"/>
          <w:color w:val="323534"/>
          <w:spacing w:val="0"/>
          <w:sz w:val="24"/>
          <w:szCs w:val="24"/>
          <w:u w:val="none"/>
          <w:shd w:val="clear" w:fill="FFFFFF"/>
          <w:lang w:val="en-US" w:eastAsia="zh-CN"/>
        </w:rPr>
        <w:t>--</w:t>
      </w:r>
      <w:r>
        <w:rPr>
          <w:rFonts w:hint="eastAsia" w:ascii="华文中宋" w:hAnsi="华文中宋" w:eastAsia="华文中宋" w:cs="华文中宋"/>
          <w:b/>
          <w:bCs/>
          <w:i w:val="0"/>
          <w:caps w:val="0"/>
          <w:color w:val="FF0000"/>
          <w:spacing w:val="0"/>
          <w:sz w:val="24"/>
          <w:szCs w:val="24"/>
          <w:u w:val="none"/>
          <w:shd w:val="clear" w:fill="FFFFFF"/>
          <w:lang w:val="en-US" w:eastAsia="zh-CN"/>
        </w:rPr>
        <w:t>国家税务总局2011年第39号公告</w:t>
      </w:r>
      <w:r>
        <w:rPr>
          <w:rFonts w:hint="eastAsia" w:ascii="微软雅黑" w:hAnsi="微软雅黑" w:eastAsia="微软雅黑" w:cs="微软雅黑"/>
          <w:b/>
          <w:bCs/>
          <w:i w:val="0"/>
          <w:caps w:val="0"/>
          <w:color w:val="333333"/>
          <w:spacing w:val="0"/>
          <w:kern w:val="0"/>
          <w:sz w:val="24"/>
          <w:szCs w:val="24"/>
          <w:shd w:val="clear" w:fill="FFFFFF"/>
          <w:lang w:val="en-US" w:eastAsia="zh-CN" w:bidi="ar"/>
        </w:rPr>
        <w:t xml:space="preserve"> </w:t>
      </w:r>
      <w:r>
        <w:rPr>
          <w:rFonts w:hint="eastAsia" w:ascii="黑体" w:hAnsi="黑体" w:eastAsia="黑体" w:cs="黑体"/>
          <w:b/>
          <w:bCs/>
          <w:color w:val="000000" w:themeColor="text1"/>
          <w:sz w:val="24"/>
          <w:szCs w:val="24"/>
          <w:highlight w:val="none"/>
          <w:lang w:val="en-US" w:eastAsia="zh-CN"/>
          <w14:textFill>
            <w14:solidFill>
              <w14:schemeClr w14:val="tx1"/>
            </w14:solidFill>
          </w14:textFill>
        </w:rPr>
        <w:t>2011年7月7日</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481" w:firstLineChars="200"/>
        <w:jc w:val="both"/>
        <w:textAlignment w:val="auto"/>
        <w:rPr>
          <w:rFonts w:hint="eastAsia" w:ascii="黑体" w:hAnsi="黑体" w:eastAsia="黑体" w:cs="黑体"/>
          <w:b/>
          <w:bCs/>
          <w:i w:val="0"/>
          <w:caps w:val="0"/>
          <w:color w:val="333333"/>
          <w:spacing w:val="0"/>
          <w:sz w:val="24"/>
          <w:szCs w:val="24"/>
          <w:shd w:val="clear" w:color="auto" w:fill="FFFFFF"/>
        </w:rPr>
      </w:pPr>
      <w:r>
        <w:rPr>
          <w:rFonts w:hint="eastAsia" w:ascii="方正大标宋简体" w:hAnsi="方正大标宋简体" w:eastAsia="方正大标宋简体" w:cs="方正大标宋简体"/>
          <w:b/>
          <w:bCs/>
          <w:i w:val="0"/>
          <w:caps w:val="0"/>
          <w:color w:val="323534"/>
          <w:spacing w:val="0"/>
          <w:sz w:val="24"/>
          <w:szCs w:val="24"/>
          <w:shd w:val="clear" w:color="auto" w:fill="FFFFFF"/>
          <w:lang w:val="en-US" w:eastAsia="zh-CN"/>
        </w:rPr>
        <w:t>4.</w:t>
      </w:r>
      <w:r>
        <w:rPr>
          <w:rFonts w:hint="eastAsia" w:ascii="方正大标宋简体" w:hAnsi="方正大标宋简体" w:eastAsia="方正大标宋简体" w:cs="方正大标宋简体"/>
          <w:b/>
          <w:bCs/>
          <w:i w:val="0"/>
          <w:caps w:val="0"/>
          <w:color w:val="323534"/>
          <w:spacing w:val="0"/>
          <w:sz w:val="24"/>
          <w:szCs w:val="24"/>
          <w:shd w:val="clear" w:color="auto" w:fill="FFFFFF"/>
        </w:rPr>
        <w:t>财政部 税务总局 证监会关于个人转让全国中小企业股份转让系统挂牌公司股票有关个人所得税政策的通知</w:t>
      </w:r>
      <w:r>
        <w:rPr>
          <w:rFonts w:hint="eastAsia" w:ascii="方正大标宋简体" w:hAnsi="方正大标宋简体" w:eastAsia="方正大标宋简体" w:cs="方正大标宋简体"/>
          <w:b/>
          <w:bCs/>
          <w:i w:val="0"/>
          <w:caps w:val="0"/>
          <w:color w:val="323534"/>
          <w:spacing w:val="0"/>
          <w:sz w:val="24"/>
          <w:szCs w:val="24"/>
          <w:shd w:val="clear" w:color="auto" w:fill="FFFFFF"/>
          <w:lang w:eastAsia="zh-CN"/>
        </w:rPr>
        <w:t>　</w:t>
      </w:r>
      <w:r>
        <w:rPr>
          <w:rFonts w:hint="eastAsia" w:ascii="微软雅黑" w:hAnsi="微软雅黑" w:eastAsia="微软雅黑" w:cs="微软雅黑"/>
          <w:b/>
          <w:bCs/>
          <w:i w:val="0"/>
          <w:caps w:val="0"/>
          <w:color w:val="FF0000"/>
          <w:spacing w:val="0"/>
          <w:sz w:val="24"/>
          <w:szCs w:val="24"/>
          <w:highlight w:val="yellow"/>
          <w:shd w:val="clear" w:color="auto" w:fill="FFFFFF"/>
          <w:lang w:eastAsia="zh-CN"/>
        </w:rPr>
        <w:t>财税【</w:t>
      </w:r>
      <w:r>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t>2018】137号</w:t>
      </w:r>
      <w:r>
        <w:rPr>
          <w:rFonts w:hint="eastAsia" w:ascii="黑体" w:hAnsi="黑体" w:eastAsia="黑体" w:cs="黑体"/>
          <w:b/>
          <w:bCs/>
          <w:i w:val="0"/>
          <w:caps w:val="0"/>
          <w:color w:val="333333"/>
          <w:spacing w:val="0"/>
          <w:sz w:val="24"/>
          <w:szCs w:val="24"/>
          <w:shd w:val="clear" w:color="auto" w:fill="FFFFFF"/>
        </w:rPr>
        <w:t>2018年11月30日</w:t>
      </w:r>
    </w:p>
    <w:p>
      <w:pPr>
        <w:keepNext w:val="0"/>
        <w:keepLines w:val="0"/>
        <w:pageBreakBefore w:val="0"/>
        <w:widowControl w:val="0"/>
        <w:kinsoku/>
        <w:wordWrap/>
        <w:overflowPunct/>
        <w:topLinePunct w:val="0"/>
        <w:autoSpaceDE/>
        <w:autoSpaceDN/>
        <w:bidi w:val="0"/>
        <w:adjustRightInd/>
        <w:snapToGrid/>
        <w:spacing w:line="640" w:lineRule="exact"/>
        <w:ind w:firstLine="481" w:firstLineChars="200"/>
        <w:jc w:val="both"/>
        <w:textAlignment w:val="auto"/>
        <w:rPr>
          <w:rFonts w:hint="default" w:ascii="黑体" w:hAnsi="黑体" w:eastAsia="黑体" w:cs="黑体"/>
          <w:b/>
          <w:bCs/>
          <w:color w:val="000000" w:themeColor="text1"/>
          <w:spacing w:val="0"/>
          <w:kern w:val="0"/>
          <w:sz w:val="24"/>
          <w:szCs w:val="24"/>
          <w:lang w:val="en-US" w:eastAsia="zh-CN"/>
          <w14:textFill>
            <w14:solidFill>
              <w14:schemeClr w14:val="tx1"/>
            </w14:solidFill>
          </w14:textFill>
        </w:rPr>
      </w:pPr>
      <w:r>
        <w:rPr>
          <w:rFonts w:hint="eastAsia" w:ascii="方正小标宋简体" w:hAnsi="方正小标宋简体" w:eastAsia="方正小标宋简体" w:cs="方正小标宋简体"/>
          <w:b/>
          <w:bCs/>
          <w:color w:val="454545"/>
          <w:sz w:val="24"/>
          <w:szCs w:val="24"/>
          <w:lang w:val="en-US" w:eastAsia="zh-CN"/>
        </w:rPr>
        <w:t>5.</w:t>
      </w:r>
      <w:r>
        <w:rPr>
          <w:rFonts w:hint="eastAsia" w:ascii="方正小标宋简体" w:hAnsi="方正小标宋简体" w:eastAsia="方正小标宋简体" w:cs="方正小标宋简体"/>
          <w:b/>
          <w:bCs/>
          <w:color w:val="454545"/>
          <w:spacing w:val="0"/>
          <w:sz w:val="24"/>
          <w:szCs w:val="24"/>
        </w:rPr>
        <w:t>关于做好限售股转让所得个人所得税征收管理工作的通知</w:t>
      </w:r>
      <w:r>
        <w:rPr>
          <w:rFonts w:hint="eastAsia" w:ascii="方正小标宋简体" w:hAnsi="方正小标宋简体" w:eastAsia="方正小标宋简体" w:cs="方正小标宋简体"/>
          <w:b/>
          <w:bCs/>
          <w:color w:val="454545"/>
          <w:spacing w:val="0"/>
          <w:sz w:val="24"/>
          <w:szCs w:val="24"/>
          <w:lang w:eastAsia="zh-CN"/>
        </w:rPr>
        <w:t>－－－</w:t>
      </w:r>
      <w:r>
        <w:rPr>
          <w:rFonts w:hint="eastAsia" w:ascii="方正小标宋简体" w:hAnsi="方正小标宋简体" w:eastAsia="方正小标宋简体" w:cs="方正小标宋简体"/>
          <w:b/>
          <w:bCs/>
          <w:color w:val="454545"/>
          <w:spacing w:val="0"/>
          <w:sz w:val="24"/>
          <w:szCs w:val="24"/>
          <w:lang w:val="en-US" w:eastAsia="zh-CN"/>
        </w:rPr>
        <w:t xml:space="preserve"> </w:t>
      </w:r>
      <w:r>
        <w:rPr>
          <w:rFonts w:hint="eastAsia" w:ascii="黑体" w:hAnsi="黑体" w:eastAsia="黑体" w:cs="黑体"/>
          <w:b/>
          <w:bCs/>
          <w:color w:val="DF0000"/>
          <w:spacing w:val="0"/>
          <w:kern w:val="0"/>
          <w:sz w:val="24"/>
          <w:szCs w:val="24"/>
        </w:rPr>
        <w:t>国税发〔2010〕8号 </w:t>
      </w:r>
      <w:r>
        <w:rPr>
          <w:rFonts w:hint="eastAsia" w:ascii="黑体" w:hAnsi="黑体" w:eastAsia="黑体" w:cs="黑体"/>
          <w:b/>
          <w:bCs/>
          <w:color w:val="DF0000"/>
          <w:spacing w:val="0"/>
          <w:kern w:val="0"/>
          <w:sz w:val="24"/>
          <w:szCs w:val="24"/>
          <w:lang w:val="en-US" w:eastAsia="zh-CN"/>
        </w:rPr>
        <w:t xml:space="preserve"> </w:t>
      </w:r>
      <w:r>
        <w:rPr>
          <w:rFonts w:hint="eastAsia" w:ascii="黑体" w:hAnsi="黑体" w:eastAsia="黑体" w:cs="黑体"/>
          <w:b/>
          <w:bCs/>
          <w:color w:val="000000" w:themeColor="text1"/>
          <w:spacing w:val="0"/>
          <w:kern w:val="0"/>
          <w:sz w:val="24"/>
          <w:szCs w:val="24"/>
          <w:lang w:val="en-US" w:eastAsia="zh-CN"/>
          <w14:textFill>
            <w14:solidFill>
              <w14:schemeClr w14:val="tx1"/>
            </w14:solidFill>
          </w14:textFill>
        </w:rPr>
        <w:t>2010年1月15日</w:t>
      </w:r>
    </w:p>
    <w:p>
      <w:pPr>
        <w:keepNext w:val="0"/>
        <w:keepLines w:val="0"/>
        <w:pageBreakBefore w:val="0"/>
        <w:widowControl w:val="0"/>
        <w:kinsoku/>
        <w:wordWrap/>
        <w:overflowPunct/>
        <w:topLinePunct w:val="0"/>
        <w:autoSpaceDE/>
        <w:autoSpaceDN/>
        <w:bidi w:val="0"/>
        <w:adjustRightInd/>
        <w:snapToGrid/>
        <w:spacing w:line="640" w:lineRule="exact"/>
        <w:ind w:firstLine="481" w:firstLineChars="200"/>
        <w:jc w:val="both"/>
        <w:textAlignment w:val="auto"/>
        <w:rPr>
          <w:rFonts w:hint="eastAsia" w:ascii="黑体" w:hAnsi="黑体" w:eastAsia="黑体" w:cs="黑体"/>
          <w:b/>
          <w:bCs/>
          <w:color w:val="000000" w:themeColor="text1"/>
          <w:sz w:val="24"/>
          <w:szCs w:val="24"/>
          <w:lang w:val="en-US" w:eastAsia="zh-CN"/>
          <w14:textFill>
            <w14:solidFill>
              <w14:schemeClr w14:val="tx1"/>
            </w14:solidFill>
          </w14:textFill>
        </w:rPr>
      </w:pPr>
      <w:r>
        <w:rPr>
          <w:rFonts w:hint="eastAsia" w:ascii="方正小标宋_GBK" w:hAnsi="方正小标宋_GBK" w:eastAsia="方正小标宋_GBK" w:cs="方正小标宋_GBK"/>
          <w:b/>
          <w:bCs/>
          <w:color w:val="454545"/>
          <w:sz w:val="24"/>
          <w:szCs w:val="24"/>
          <w:lang w:val="en-US" w:eastAsia="zh-CN"/>
        </w:rPr>
        <w:t>6.</w:t>
      </w:r>
      <w:r>
        <w:rPr>
          <w:rFonts w:hint="eastAsia" w:ascii="方正小标宋_GBK" w:hAnsi="方正小标宋_GBK" w:eastAsia="方正小标宋_GBK" w:cs="方正小标宋_GBK"/>
          <w:b/>
          <w:bCs/>
          <w:color w:val="454545"/>
          <w:sz w:val="24"/>
          <w:szCs w:val="24"/>
        </w:rPr>
        <w:t>国家税务总局关于限售股转让所得个人所得税征缴有关问题的通知</w:t>
      </w:r>
      <w:r>
        <w:rPr>
          <w:rFonts w:hint="eastAsia" w:ascii="方正小标宋_GBK" w:hAnsi="方正小标宋_GBK" w:eastAsia="方正小标宋_GBK" w:cs="方正小标宋_GBK"/>
          <w:b/>
          <w:bCs/>
          <w:color w:val="454545"/>
          <w:sz w:val="24"/>
          <w:szCs w:val="24"/>
          <w:lang w:eastAsia="zh-CN"/>
        </w:rPr>
        <w:t>－－</w:t>
      </w:r>
      <w:r>
        <w:rPr>
          <w:rFonts w:hint="eastAsia" w:ascii="方正小标宋_GBK" w:hAnsi="方正小标宋_GBK" w:eastAsia="方正小标宋_GBK" w:cs="方正小标宋_GBK"/>
          <w:b/>
          <w:bCs/>
          <w:color w:val="DF0000"/>
          <w:sz w:val="24"/>
          <w:szCs w:val="24"/>
        </w:rPr>
        <w:t>国税函〔2010〕23号</w:t>
      </w:r>
      <w:r>
        <w:rPr>
          <w:rFonts w:hint="eastAsia" w:ascii="方正小标宋_GBK" w:hAnsi="方正小标宋_GBK" w:eastAsia="方正小标宋_GBK" w:cs="方正小标宋_GBK"/>
          <w:b/>
          <w:bCs/>
          <w:color w:val="DF0000"/>
          <w:sz w:val="24"/>
          <w:szCs w:val="24"/>
          <w:lang w:val="en-US" w:eastAsia="zh-CN"/>
        </w:rPr>
        <w:t xml:space="preserve">  </w:t>
      </w:r>
      <w:r>
        <w:rPr>
          <w:rFonts w:hint="eastAsia" w:ascii="黑体" w:hAnsi="黑体" w:eastAsia="黑体" w:cs="黑体"/>
          <w:b w:val="0"/>
          <w:bCs w:val="0"/>
          <w:color w:val="DF0000"/>
          <w:sz w:val="24"/>
          <w:szCs w:val="24"/>
          <w:lang w:val="en-US" w:eastAsia="zh-CN"/>
        </w:rPr>
        <w:t xml:space="preserve"> </w:t>
      </w:r>
      <w:r>
        <w:rPr>
          <w:rFonts w:hint="eastAsia" w:ascii="黑体" w:hAnsi="黑体" w:eastAsia="黑体" w:cs="黑体"/>
          <w:b/>
          <w:bCs/>
          <w:color w:val="000000" w:themeColor="text1"/>
          <w:sz w:val="24"/>
          <w:szCs w:val="24"/>
          <w:lang w:val="en-US" w:eastAsia="zh-CN"/>
          <w14:textFill>
            <w14:solidFill>
              <w14:schemeClr w14:val="tx1"/>
            </w14:solidFill>
          </w14:textFill>
        </w:rPr>
        <w:t xml:space="preserve">2010年1月18日  </w:t>
      </w:r>
    </w:p>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黑体" w:hAnsi="黑体" w:eastAsia="黑体" w:cs="黑体"/>
          <w:b w:val="0"/>
          <w:bCs w:val="0"/>
          <w:i w:val="0"/>
          <w:caps w:val="0"/>
          <w:color w:val="FF0000"/>
          <w:spacing w:val="0"/>
          <w:sz w:val="24"/>
          <w:szCs w:val="24"/>
          <w:highlight w:val="yellow"/>
          <w:shd w:val="clear" w:color="auto" w:fill="FFFFFF"/>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pPr>
    </w:p>
    <w:p>
      <w:pPr>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pPr>
    </w:p>
    <w:p>
      <w:pPr>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pPr>
    </w:p>
    <w:p>
      <w:pPr>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pPr>
    </w:p>
    <w:p>
      <w:pPr>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pPr>
    </w:p>
    <w:p>
      <w:pPr>
        <w:rPr>
          <w:rFonts w:hint="eastAsia" w:ascii="微软雅黑" w:hAnsi="微软雅黑" w:eastAsia="微软雅黑" w:cs="微软雅黑"/>
          <w:b/>
          <w:bCs/>
          <w:i w:val="0"/>
          <w:caps w:val="0"/>
          <w:color w:val="FF0000"/>
          <w:spacing w:val="0"/>
          <w:sz w:val="24"/>
          <w:szCs w:val="24"/>
          <w:highlight w:val="yellow"/>
          <w:shd w:val="clear" w:color="auto" w:fill="FFFFFF"/>
          <w:lang w:val="en-US" w:eastAsia="zh-CN"/>
        </w:rPr>
      </w:pPr>
    </w:p>
    <w:p>
      <w:pPr>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方正大标宋简体" w:hAnsi="方正大标宋简体" w:eastAsia="方正大标宋简体" w:cs="方正大标宋简体"/>
          <w:b/>
          <w:bCs/>
          <w:color w:val="454545"/>
          <w:sz w:val="44"/>
          <w:szCs w:val="44"/>
        </w:rPr>
      </w:pP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方正大标宋简体" w:hAnsi="方正大标宋简体" w:eastAsia="方正大标宋简体" w:cs="方正大标宋简体"/>
          <w:b/>
          <w:bCs/>
          <w:color w:val="454545"/>
          <w:sz w:val="36"/>
          <w:szCs w:val="36"/>
        </w:rPr>
      </w:pPr>
      <w:r>
        <w:rPr>
          <w:rFonts w:hint="eastAsia" w:ascii="方正大标宋简体" w:hAnsi="方正大标宋简体" w:eastAsia="方正大标宋简体" w:cs="方正大标宋简体"/>
          <w:b/>
          <w:bCs/>
          <w:color w:val="454545"/>
          <w:sz w:val="36"/>
          <w:szCs w:val="36"/>
        </w:rPr>
        <w:t>财政部 国家税务总局 证监会</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方正大标宋简体" w:hAnsi="方正大标宋简体" w:eastAsia="方正大标宋简体" w:cs="方正大标宋简体"/>
          <w:b/>
          <w:bCs/>
          <w:color w:val="454545"/>
          <w:sz w:val="36"/>
          <w:szCs w:val="36"/>
        </w:rPr>
      </w:pPr>
      <w:r>
        <w:rPr>
          <w:rFonts w:hint="eastAsia" w:ascii="方正大标宋简体" w:hAnsi="方正大标宋简体" w:eastAsia="方正大标宋简体" w:cs="方正大标宋简体"/>
          <w:b/>
          <w:bCs/>
          <w:color w:val="454545"/>
          <w:sz w:val="36"/>
          <w:szCs w:val="36"/>
        </w:rPr>
        <w:t>关于个人</w:t>
      </w:r>
      <w:r>
        <w:rPr>
          <w:rFonts w:hint="eastAsia" w:ascii="方正大标宋简体" w:hAnsi="方正大标宋简体" w:eastAsia="方正大标宋简体" w:cs="方正大标宋简体"/>
          <w:b/>
          <w:bCs/>
          <w:color w:val="FF0000"/>
          <w:sz w:val="36"/>
          <w:szCs w:val="36"/>
          <w:highlight w:val="cyan"/>
          <w:u w:val="none"/>
        </w:rPr>
        <w:t>转让上市公司限售股所得</w:t>
      </w:r>
      <w:r>
        <w:rPr>
          <w:rFonts w:hint="eastAsia" w:ascii="方正大标宋简体" w:hAnsi="方正大标宋简体" w:eastAsia="方正大标宋简体" w:cs="方正大标宋简体"/>
          <w:b/>
          <w:bCs/>
          <w:color w:val="454545"/>
          <w:sz w:val="36"/>
          <w:szCs w:val="36"/>
        </w:rPr>
        <w:t>征收个人所得税</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方正大标宋简体" w:hAnsi="方正大标宋简体" w:eastAsia="方正大标宋简体" w:cs="方正大标宋简体"/>
          <w:b/>
          <w:bCs/>
          <w:color w:val="454545"/>
          <w:sz w:val="44"/>
          <w:szCs w:val="44"/>
        </w:rPr>
      </w:pPr>
      <w:r>
        <w:rPr>
          <w:rFonts w:hint="eastAsia" w:ascii="方正大标宋简体" w:hAnsi="方正大标宋简体" w:eastAsia="方正大标宋简体" w:cs="方正大标宋简体"/>
          <w:b/>
          <w:bCs/>
          <w:color w:val="454545"/>
          <w:sz w:val="36"/>
          <w:szCs w:val="36"/>
        </w:rPr>
        <w:t>有关问题的通知</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方正楷体_GBK" w:hAnsi="方正楷体_GBK" w:eastAsia="方正楷体_GBK" w:cs="方正楷体_GBK"/>
          <w:b/>
          <w:bCs/>
          <w:color w:val="000000" w:themeColor="text1"/>
          <w:sz w:val="24"/>
          <w:szCs w:val="24"/>
          <w:lang w:val="en-US" w:eastAsia="zh-CN"/>
          <w14:textFill>
            <w14:solidFill>
              <w14:schemeClr w14:val="tx1"/>
            </w14:solidFill>
          </w14:textFill>
        </w:rPr>
      </w:pPr>
      <w:r>
        <w:rPr>
          <w:rFonts w:hint="eastAsia" w:ascii="黑体" w:hAnsi="黑体" w:eastAsia="黑体" w:cs="黑体"/>
          <w:b/>
          <w:bCs/>
          <w:color w:val="FF0000"/>
          <w:sz w:val="24"/>
          <w:szCs w:val="24"/>
          <w:highlight w:val="yellow"/>
        </w:rPr>
        <w:t>财税〔2009〕167号</w:t>
      </w:r>
      <w:r>
        <w:rPr>
          <w:rFonts w:hint="eastAsia" w:ascii="黑体" w:hAnsi="黑体" w:eastAsia="黑体" w:cs="黑体"/>
          <w:b/>
          <w:bCs/>
          <w:color w:val="FF0000"/>
          <w:sz w:val="24"/>
          <w:szCs w:val="24"/>
          <w:lang w:val="en-US" w:eastAsia="zh-CN"/>
        </w:rPr>
        <w:t xml:space="preserve"> </w:t>
      </w:r>
      <w:r>
        <w:rPr>
          <w:rFonts w:hint="eastAsia" w:ascii="方正楷体_GBK" w:hAnsi="方正楷体_GBK" w:eastAsia="方正楷体_GBK" w:cs="方正楷体_GBK"/>
          <w:b/>
          <w:bCs/>
          <w:color w:val="000000" w:themeColor="text1"/>
          <w:sz w:val="24"/>
          <w:szCs w:val="24"/>
          <w:lang w:val="en-US" w:eastAsia="zh-CN"/>
          <w14:textFill>
            <w14:solidFill>
              <w14:schemeClr w14:val="tx1"/>
            </w14:solidFill>
          </w14:textFill>
        </w:rPr>
        <w:t xml:space="preserve"> 2009年12月31日</w:t>
      </w:r>
    </w:p>
    <w:p>
      <w:pPr>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方正行楷_GBK" w:hAnsi="方正行楷_GBK" w:eastAsia="方正行楷_GBK" w:cs="方正行楷_GBK"/>
          <w:b/>
          <w:bCs/>
          <w:color w:val="FF0000"/>
          <w:kern w:val="0"/>
          <w:sz w:val="24"/>
          <w:szCs w:val="24"/>
        </w:rPr>
      </w:pPr>
    </w:p>
    <w:p>
      <w:pPr>
        <w:keepNext w:val="0"/>
        <w:keepLines w:val="0"/>
        <w:pageBreakBefore w:val="0"/>
        <w:widowControl/>
        <w:kinsoku/>
        <w:wordWrap/>
        <w:overflowPunct/>
        <w:topLinePunct w:val="0"/>
        <w:autoSpaceDE/>
        <w:autoSpaceDN/>
        <w:bidi w:val="0"/>
        <w:adjustRightInd/>
        <w:snapToGrid/>
        <w:spacing w:line="440" w:lineRule="exact"/>
        <w:ind w:firstLine="48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为进一步完善股权分置改革后的相关制度，</w:t>
      </w:r>
      <w:r>
        <w:rPr>
          <w:rFonts w:hint="eastAsia" w:ascii="方正行楷_GBK" w:hAnsi="方正行楷_GBK" w:eastAsia="方正行楷_GBK" w:cs="方正行楷_GBK"/>
          <w:color w:val="000000"/>
          <w:kern w:val="0"/>
          <w:sz w:val="24"/>
          <w:szCs w:val="24"/>
        </w:rPr>
        <w:t>发挥税收对高收入者的调节作用，促进资本市场长期稳定健康发展，</w:t>
      </w:r>
      <w:r>
        <w:rPr>
          <w:rFonts w:hint="eastAsia" w:ascii="宋体" w:hAnsi="宋体" w:eastAsia="宋体" w:cs="宋体"/>
          <w:color w:val="000000"/>
          <w:kern w:val="0"/>
          <w:sz w:val="24"/>
          <w:szCs w:val="24"/>
        </w:rPr>
        <w:t xml:space="preserve">经国务院批准，现就个人转让上市公司限售流通股（以下简称限售股）取得的所得征收个人所得税有关问题通知如下： </w:t>
      </w:r>
    </w:p>
    <w:p>
      <w:pPr>
        <w:widowControl/>
        <w:spacing w:line="540" w:lineRule="atLeast"/>
        <w:ind w:firstLine="480"/>
        <w:jc w:val="left"/>
        <w:rPr>
          <w:rFonts w:hint="eastAsia" w:ascii="宋体" w:hAnsi="宋体" w:eastAsia="宋体" w:cs="宋体"/>
          <w:color w:val="000000"/>
          <w:kern w:val="0"/>
          <w:sz w:val="24"/>
          <w:szCs w:val="24"/>
        </w:rPr>
      </w:pPr>
    </w:p>
    <w:p>
      <w:pPr>
        <w:widowControl/>
        <w:numPr>
          <w:ilvl w:val="0"/>
          <w:numId w:val="2"/>
        </w:numPr>
        <w:spacing w:line="540" w:lineRule="atLeast"/>
        <w:ind w:firstLine="480"/>
        <w:jc w:val="left"/>
        <w:rPr>
          <w:rFonts w:hint="eastAsia" w:ascii="方正大标宋简体" w:hAnsi="方正大标宋简体" w:eastAsia="方正大标宋简体" w:cs="方正大标宋简体"/>
          <w:color w:val="000000"/>
          <w:kern w:val="0"/>
          <w:sz w:val="24"/>
          <w:szCs w:val="24"/>
          <w:highlight w:val="cyan"/>
        </w:rPr>
      </w:pPr>
      <w:r>
        <w:rPr>
          <w:rFonts w:hint="eastAsia" w:ascii="方正大标宋简体" w:hAnsi="方正大标宋简体" w:eastAsia="方正大标宋简体" w:cs="方正大标宋简体"/>
          <w:color w:val="000000"/>
          <w:kern w:val="0"/>
          <w:sz w:val="24"/>
          <w:szCs w:val="24"/>
          <w:highlight w:val="cyan"/>
        </w:rPr>
        <w:t>自2010年1月1日起，</w:t>
      </w:r>
      <w:r>
        <w:rPr>
          <w:rFonts w:hint="eastAsia" w:ascii="方正大标宋简体" w:hAnsi="方正大标宋简体" w:eastAsia="方正大标宋简体" w:cs="方正大标宋简体"/>
          <w:color w:val="FF0000"/>
          <w:kern w:val="0"/>
          <w:sz w:val="24"/>
          <w:szCs w:val="24"/>
          <w:highlight w:val="cyan"/>
        </w:rPr>
        <w:t>对个人转让限售股取得的所得</w:t>
      </w:r>
      <w:r>
        <w:rPr>
          <w:rFonts w:hint="eastAsia" w:ascii="方正大标宋简体" w:hAnsi="方正大标宋简体" w:eastAsia="方正大标宋简体" w:cs="方正大标宋简体"/>
          <w:color w:val="000000"/>
          <w:kern w:val="0"/>
          <w:sz w:val="24"/>
          <w:szCs w:val="24"/>
          <w:highlight w:val="cyan"/>
        </w:rPr>
        <w:t>，按照“</w:t>
      </w:r>
      <w:r>
        <w:rPr>
          <w:rFonts w:hint="eastAsia" w:ascii="方正大标宋简体" w:hAnsi="方正大标宋简体" w:eastAsia="方正大标宋简体" w:cs="方正大标宋简体"/>
          <w:color w:val="FF0000"/>
          <w:kern w:val="0"/>
          <w:sz w:val="24"/>
          <w:szCs w:val="24"/>
          <w:highlight w:val="cyan"/>
        </w:rPr>
        <w:t>财产转让所得</w:t>
      </w:r>
      <w:r>
        <w:rPr>
          <w:rFonts w:hint="eastAsia" w:ascii="方正大标宋简体" w:hAnsi="方正大标宋简体" w:eastAsia="方正大标宋简体" w:cs="方正大标宋简体"/>
          <w:color w:val="000000"/>
          <w:kern w:val="0"/>
          <w:sz w:val="24"/>
          <w:szCs w:val="24"/>
          <w:highlight w:val="cyan"/>
        </w:rPr>
        <w:t>”，适用20%的比例税率征收个人所得税。</w:t>
      </w:r>
    </w:p>
    <w:p>
      <w:pPr>
        <w:widowControl/>
        <w:numPr>
          <w:ilvl w:val="0"/>
          <w:numId w:val="0"/>
        </w:numPr>
        <w:spacing w:line="540" w:lineRule="atLeast"/>
        <w:jc w:val="left"/>
        <w:rPr>
          <w:rFonts w:hint="eastAsia" w:ascii="方正大标宋简体" w:hAnsi="方正大标宋简体" w:eastAsia="方正大标宋简体" w:cs="方正大标宋简体"/>
          <w:color w:val="000000"/>
          <w:kern w:val="0"/>
          <w:sz w:val="24"/>
          <w:szCs w:val="24"/>
        </w:rPr>
      </w:pPr>
    </w:p>
    <w:p>
      <w:pPr>
        <w:widowControl/>
        <w:spacing w:line="540" w:lineRule="atLeast"/>
        <w:ind w:firstLine="48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二、本通知所称限售股，包括： </w:t>
      </w:r>
    </w:p>
    <w:p>
      <w:pPr>
        <w:widowControl/>
        <w:spacing w:line="540" w:lineRule="atLeast"/>
        <w:ind w:firstLine="48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1.上市公司股权分置改革完成后股票复牌日之前股东所持原非流通股股份，以及股票复牌日至解禁日期间由上述股份孳生的送、转股（以下统称股改限售股）； </w:t>
      </w:r>
    </w:p>
    <w:p>
      <w:pPr>
        <w:widowControl/>
        <w:spacing w:line="540" w:lineRule="atLeast"/>
        <w:ind w:firstLine="48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2.2006年股权分置改革新老划断后，首次公开发行股票并上市的公司形成的限售股，以及上市首日至解禁日期间由上述股份孳生的送、转股（以下统称新股限售股）； </w:t>
      </w:r>
    </w:p>
    <w:p>
      <w:pPr>
        <w:widowControl/>
        <w:numPr>
          <w:ilvl w:val="0"/>
          <w:numId w:val="3"/>
        </w:numPr>
        <w:spacing w:line="540" w:lineRule="atLeast"/>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财政部、税务总局、法制办和证监会共同确定的其他限售股。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p>
    <w:p>
      <w:pPr>
        <w:widowControl/>
        <w:numPr>
          <w:ilvl w:val="0"/>
          <w:numId w:val="0"/>
        </w:numPr>
        <w:spacing w:line="54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000000"/>
          <w:kern w:val="0"/>
          <w:sz w:val="24"/>
          <w:szCs w:val="24"/>
        </w:rPr>
        <w:t>三、</w:t>
      </w:r>
      <w:r>
        <w:rPr>
          <w:rFonts w:hint="eastAsia" w:ascii="方正大标宋简体" w:hAnsi="方正大标宋简体" w:eastAsia="方正大标宋简体" w:cs="方正大标宋简体"/>
          <w:color w:val="000000"/>
          <w:kern w:val="0"/>
          <w:sz w:val="24"/>
          <w:szCs w:val="24"/>
        </w:rPr>
        <w:t>个人转让限售股，以</w:t>
      </w:r>
      <w:r>
        <w:rPr>
          <w:rFonts w:hint="eastAsia" w:ascii="方正行楷_GBK" w:hAnsi="方正行楷_GBK" w:eastAsia="方正行楷_GBK" w:cs="方正行楷_GBK"/>
          <w:color w:val="FF0000"/>
          <w:kern w:val="0"/>
          <w:sz w:val="24"/>
          <w:szCs w:val="24"/>
        </w:rPr>
        <w:t>每次限售股转让收入</w:t>
      </w:r>
      <w:r>
        <w:rPr>
          <w:rFonts w:hint="eastAsia" w:ascii="方正大标宋简体" w:hAnsi="方正大标宋简体" w:eastAsia="方正大标宋简体" w:cs="方正大标宋简体"/>
          <w:color w:val="000000"/>
          <w:kern w:val="0"/>
          <w:sz w:val="24"/>
          <w:szCs w:val="24"/>
        </w:rPr>
        <w:t>，减除</w:t>
      </w:r>
      <w:r>
        <w:rPr>
          <w:rFonts w:hint="eastAsia" w:ascii="方正大标宋简体" w:hAnsi="方正大标宋简体" w:eastAsia="方正大标宋简体" w:cs="方正大标宋简体"/>
          <w:color w:val="FF0000"/>
          <w:kern w:val="0"/>
          <w:sz w:val="24"/>
          <w:szCs w:val="24"/>
        </w:rPr>
        <w:t>股票原值</w:t>
      </w:r>
      <w:r>
        <w:rPr>
          <w:rFonts w:hint="eastAsia" w:ascii="方正大标宋简体" w:hAnsi="方正大标宋简体" w:eastAsia="方正大标宋简体" w:cs="方正大标宋简体"/>
          <w:color w:val="000000"/>
          <w:kern w:val="0"/>
          <w:sz w:val="24"/>
          <w:szCs w:val="24"/>
        </w:rPr>
        <w:t>和</w:t>
      </w:r>
      <w:r>
        <w:rPr>
          <w:rFonts w:hint="eastAsia" w:ascii="方正大标宋简体" w:hAnsi="方正大标宋简体" w:eastAsia="方正大标宋简体" w:cs="方正大标宋简体"/>
          <w:color w:val="FF0000"/>
          <w:kern w:val="0"/>
          <w:sz w:val="24"/>
          <w:szCs w:val="24"/>
        </w:rPr>
        <w:t>合理税费</w:t>
      </w:r>
      <w:r>
        <w:rPr>
          <w:rFonts w:hint="eastAsia" w:ascii="方正大标宋简体" w:hAnsi="方正大标宋简体" w:eastAsia="方正大标宋简体" w:cs="方正大标宋简体"/>
          <w:color w:val="000000"/>
          <w:kern w:val="0"/>
          <w:sz w:val="24"/>
          <w:szCs w:val="24"/>
        </w:rPr>
        <w:t>后的余额，为应纳税所得额</w:t>
      </w:r>
      <w:r>
        <w:rPr>
          <w:rFonts w:hint="eastAsia" w:ascii="宋体" w:hAnsi="宋体" w:eastAsia="宋体" w:cs="宋体"/>
          <w:color w:val="000000"/>
          <w:kern w:val="0"/>
          <w:sz w:val="24"/>
          <w:szCs w:val="24"/>
        </w:rPr>
        <w:t xml:space="preserve">。即：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方正楷体_GBK" w:hAnsi="方正楷体_GBK" w:eastAsia="方正楷体_GBK" w:cs="方正楷体_GBK"/>
          <w:color w:val="000000"/>
          <w:kern w:val="0"/>
          <w:sz w:val="24"/>
          <w:szCs w:val="24"/>
        </w:rPr>
        <w:t xml:space="preserve">应纳税所得额＝限售股转让收入－（限售股原值+合理税费） </w:t>
      </w:r>
      <w:r>
        <w:rPr>
          <w:rFonts w:hint="eastAsia" w:ascii="方正楷体_GBK" w:hAnsi="方正楷体_GBK" w:eastAsia="方正楷体_GBK" w:cs="方正楷体_GBK"/>
          <w:color w:val="000000"/>
          <w:kern w:val="0"/>
          <w:sz w:val="24"/>
          <w:szCs w:val="24"/>
        </w:rPr>
        <w:br w:type="textWrapping"/>
      </w:r>
      <w:r>
        <w:rPr>
          <w:rFonts w:hint="eastAsia" w:ascii="方正楷体_GBK" w:hAnsi="方正楷体_GBK" w:eastAsia="方正楷体_GBK" w:cs="方正楷体_GBK"/>
          <w:color w:val="000000"/>
          <w:kern w:val="0"/>
          <w:sz w:val="24"/>
          <w:szCs w:val="24"/>
        </w:rPr>
        <w:t xml:space="preserve">　　应纳税额 = 应纳税所得额×20% </w:t>
      </w:r>
      <w:r>
        <w:rPr>
          <w:rFonts w:hint="eastAsia" w:ascii="方正楷体_GBK" w:hAnsi="方正楷体_GBK" w:eastAsia="方正楷体_GBK" w:cs="方正楷体_GBK"/>
          <w:color w:val="000000"/>
          <w:kern w:val="0"/>
          <w:sz w:val="24"/>
          <w:szCs w:val="24"/>
        </w:rPr>
        <w:br w:type="textWrapping"/>
      </w:r>
      <w:r>
        <w:rPr>
          <w:rFonts w:hint="eastAsia" w:ascii="宋体" w:hAnsi="宋体" w:eastAsia="宋体" w:cs="宋体"/>
          <w:color w:val="000000"/>
          <w:kern w:val="0"/>
          <w:sz w:val="24"/>
          <w:szCs w:val="24"/>
        </w:rPr>
        <w:t>　　本通知所称的</w:t>
      </w:r>
      <w:r>
        <w:rPr>
          <w:rFonts w:hint="eastAsia" w:ascii="宋体" w:hAnsi="宋体" w:eastAsia="宋体" w:cs="宋体"/>
          <w:b/>
          <w:bCs/>
          <w:color w:val="000000"/>
          <w:kern w:val="0"/>
          <w:sz w:val="24"/>
          <w:szCs w:val="24"/>
        </w:rPr>
        <w:t>限售股转让收入</w:t>
      </w:r>
      <w:r>
        <w:rPr>
          <w:rFonts w:hint="eastAsia" w:ascii="宋体" w:hAnsi="宋体" w:eastAsia="宋体" w:cs="宋体"/>
          <w:color w:val="000000"/>
          <w:kern w:val="0"/>
          <w:sz w:val="24"/>
          <w:szCs w:val="24"/>
        </w:rPr>
        <w:t>，是指转让限售股股票实际取得的收入。</w:t>
      </w:r>
      <w:r>
        <w:rPr>
          <w:rFonts w:hint="eastAsia" w:ascii="宋体" w:hAnsi="宋体" w:eastAsia="宋体" w:cs="宋体"/>
          <w:b/>
          <w:bCs/>
          <w:color w:val="000000"/>
          <w:kern w:val="0"/>
          <w:sz w:val="24"/>
          <w:szCs w:val="24"/>
        </w:rPr>
        <w:t>限售股原值</w:t>
      </w:r>
      <w:r>
        <w:rPr>
          <w:rFonts w:hint="eastAsia" w:ascii="宋体" w:hAnsi="宋体" w:eastAsia="宋体" w:cs="宋体"/>
          <w:color w:val="000000"/>
          <w:kern w:val="0"/>
          <w:sz w:val="24"/>
          <w:szCs w:val="24"/>
        </w:rPr>
        <w:t>，是指限售股买入时的买入价及按照规定缴纳的有关费用。</w:t>
      </w:r>
      <w:r>
        <w:rPr>
          <w:rFonts w:hint="eastAsia" w:ascii="宋体" w:hAnsi="宋体" w:eastAsia="宋体" w:cs="宋体"/>
          <w:b/>
          <w:bCs/>
          <w:color w:val="000000"/>
          <w:kern w:val="0"/>
          <w:sz w:val="24"/>
          <w:szCs w:val="24"/>
        </w:rPr>
        <w:t>合理税费</w:t>
      </w:r>
      <w:r>
        <w:rPr>
          <w:rFonts w:hint="eastAsia" w:ascii="宋体" w:hAnsi="宋体" w:eastAsia="宋体" w:cs="宋体"/>
          <w:color w:val="000000"/>
          <w:kern w:val="0"/>
          <w:sz w:val="24"/>
          <w:szCs w:val="24"/>
        </w:rPr>
        <w:t xml:space="preserve">，是指转让限售股过程中发生的印花税、佣金、过户费等与交易相关的税费。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方正楷体_GBK" w:hAnsi="方正楷体_GBK" w:eastAsia="方正楷体_GBK" w:cs="方正楷体_GBK"/>
          <w:b/>
          <w:bCs/>
          <w:color w:val="000000"/>
          <w:kern w:val="0"/>
          <w:sz w:val="24"/>
          <w:szCs w:val="24"/>
        </w:rPr>
        <w:t>如果纳税人</w:t>
      </w:r>
      <w:r>
        <w:rPr>
          <w:rFonts w:hint="eastAsia" w:ascii="方正楷体_GBK" w:hAnsi="方正楷体_GBK" w:eastAsia="方正楷体_GBK" w:cs="方正楷体_GBK"/>
          <w:b/>
          <w:bCs/>
          <w:color w:val="FF0000"/>
          <w:kern w:val="0"/>
          <w:sz w:val="24"/>
          <w:szCs w:val="24"/>
        </w:rPr>
        <w:t>未能提供完整、真实的限售股原值凭证的，不能准确计算限售股原值的，</w:t>
      </w:r>
      <w:r>
        <w:rPr>
          <w:rFonts w:hint="eastAsia" w:ascii="方正楷体_GBK" w:hAnsi="方正楷体_GBK" w:eastAsia="方正楷体_GBK" w:cs="方正楷体_GBK"/>
          <w:b/>
          <w:bCs/>
          <w:color w:val="000000"/>
          <w:kern w:val="0"/>
          <w:sz w:val="24"/>
          <w:szCs w:val="24"/>
        </w:rPr>
        <w:t>主管税务机关一律</w:t>
      </w:r>
      <w:r>
        <w:rPr>
          <w:rFonts w:hint="eastAsia" w:ascii="方正楷体_GBK" w:hAnsi="方正楷体_GBK" w:eastAsia="方正楷体_GBK" w:cs="方正楷体_GBK"/>
          <w:b/>
          <w:bCs/>
          <w:color w:val="000000"/>
          <w:kern w:val="0"/>
          <w:sz w:val="24"/>
          <w:szCs w:val="24"/>
          <w:highlight w:val="yellow"/>
        </w:rPr>
        <w:t>按限售股转让收入的15%</w:t>
      </w:r>
      <w:r>
        <w:rPr>
          <w:rFonts w:hint="eastAsia" w:ascii="方正楷体_GBK" w:hAnsi="方正楷体_GBK" w:eastAsia="方正楷体_GBK" w:cs="方正楷体_GBK"/>
          <w:b/>
          <w:bCs/>
          <w:color w:val="FF0000"/>
          <w:kern w:val="0"/>
          <w:sz w:val="24"/>
          <w:szCs w:val="24"/>
        </w:rPr>
        <w:t>核定</w:t>
      </w:r>
      <w:r>
        <w:rPr>
          <w:rFonts w:hint="eastAsia" w:ascii="方正楷体_GBK" w:hAnsi="方正楷体_GBK" w:eastAsia="方正楷体_GBK" w:cs="方正楷体_GBK"/>
          <w:b/>
          <w:bCs/>
          <w:color w:val="000000"/>
          <w:kern w:val="0"/>
          <w:sz w:val="24"/>
          <w:szCs w:val="24"/>
          <w:highlight w:val="yellow"/>
        </w:rPr>
        <w:t>限售股原值及合理税费</w:t>
      </w:r>
      <w:r>
        <w:rPr>
          <w:rFonts w:hint="eastAsia" w:ascii="方正楷体_GBK" w:hAnsi="方正楷体_GBK" w:eastAsia="方正楷体_GBK" w:cs="方正楷体_GBK"/>
          <w:b/>
          <w:bCs/>
          <w:color w:val="000000"/>
          <w:kern w:val="0"/>
          <w:sz w:val="24"/>
          <w:szCs w:val="24"/>
        </w:rPr>
        <w:t xml:space="preserve">。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四、限售股转让所得个人所得税，以限售股持有者为纳税义务人，以个人股东开户的证券机构为扣缴义务人。限售股个人所得税由证券机构所在地主管税务机关负责征收管理。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五、</w:t>
      </w:r>
      <w:r>
        <w:rPr>
          <w:rFonts w:hint="eastAsia" w:ascii="宋体" w:hAnsi="宋体" w:eastAsia="宋体" w:cs="宋体"/>
          <w:b/>
          <w:bCs/>
          <w:color w:val="000000"/>
          <w:kern w:val="0"/>
          <w:sz w:val="24"/>
          <w:szCs w:val="24"/>
        </w:rPr>
        <w:t>限售股转让所得个人所得税，采取</w:t>
      </w:r>
      <w:r>
        <w:rPr>
          <w:rFonts w:hint="eastAsia" w:ascii="宋体" w:hAnsi="宋体" w:eastAsia="宋体" w:cs="宋体"/>
          <w:b/>
          <w:bCs/>
          <w:color w:val="000000"/>
          <w:kern w:val="0"/>
          <w:sz w:val="24"/>
          <w:szCs w:val="24"/>
          <w:highlight w:val="yellow"/>
        </w:rPr>
        <w:t>证券机构预扣预缴、纳税人自行申报清算</w:t>
      </w:r>
      <w:r>
        <w:rPr>
          <w:rFonts w:hint="eastAsia" w:ascii="宋体" w:hAnsi="宋体" w:eastAsia="宋体" w:cs="宋体"/>
          <w:b/>
          <w:bCs/>
          <w:color w:val="000000"/>
          <w:kern w:val="0"/>
          <w:sz w:val="24"/>
          <w:szCs w:val="24"/>
        </w:rPr>
        <w:t>和</w:t>
      </w:r>
      <w:r>
        <w:rPr>
          <w:rFonts w:hint="eastAsia" w:ascii="宋体" w:hAnsi="宋体" w:eastAsia="宋体" w:cs="宋体"/>
          <w:b/>
          <w:bCs/>
          <w:color w:val="FF0000"/>
          <w:kern w:val="0"/>
          <w:sz w:val="24"/>
          <w:szCs w:val="24"/>
          <w:highlight w:val="none"/>
        </w:rPr>
        <w:t>证券机构直接扣缴</w:t>
      </w:r>
      <w:r>
        <w:rPr>
          <w:rFonts w:hint="eastAsia" w:ascii="宋体" w:hAnsi="宋体" w:eastAsia="宋体" w:cs="宋体"/>
          <w:b/>
          <w:bCs/>
          <w:color w:val="000000"/>
          <w:kern w:val="0"/>
          <w:sz w:val="24"/>
          <w:szCs w:val="24"/>
        </w:rPr>
        <w:t>相结合的方式征收。</w:t>
      </w:r>
      <w:r>
        <w:rPr>
          <w:rFonts w:hint="eastAsia" w:ascii="宋体" w:hAnsi="宋体" w:eastAsia="宋体" w:cs="宋体"/>
          <w:color w:val="000000"/>
          <w:kern w:val="0"/>
          <w:sz w:val="24"/>
          <w:szCs w:val="24"/>
        </w:rPr>
        <w:t xml:space="preserve">证券机构预扣预缴的税款，于次月7日内以纳税保证金形式向主管税务机关缴纳。主管税务机关在收取纳税保证金时，应向证券机构开具《中华人民共和国纳税保证金收据》，并纳入专户存储。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根据证券机构技术和制度准备完成情况，对不同阶段形成的限售股，采取不同的征收管理办法。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（一）证券机构技术和制度准备</w:t>
      </w:r>
      <w:r>
        <w:rPr>
          <w:rFonts w:hint="eastAsia" w:ascii="宋体" w:hAnsi="宋体" w:eastAsia="宋体" w:cs="宋体"/>
          <w:b/>
          <w:bCs/>
          <w:color w:val="000000"/>
          <w:kern w:val="0"/>
          <w:sz w:val="24"/>
          <w:szCs w:val="24"/>
        </w:rPr>
        <w:t>完成前</w:t>
      </w:r>
      <w:r>
        <w:rPr>
          <w:rFonts w:hint="eastAsia" w:ascii="宋体" w:hAnsi="宋体" w:eastAsia="宋体" w:cs="宋体"/>
          <w:color w:val="000000"/>
          <w:kern w:val="0"/>
          <w:sz w:val="24"/>
          <w:szCs w:val="24"/>
        </w:rPr>
        <w:t xml:space="preserve">形成的限售股，证券机构按照股改限售股股改复牌日收盘价，或新股限售股上市首日收盘价计算转让收入，按照计算出的转让收入的15%确定限售股原值和合理税费，以转让收入减去原值和合理税费后的余额，适用20%税率，计算预扣预缴个人所得税额。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纳税人按照实际转让收入与实际成本计算出的应纳税额，与证券机构预扣预缴税额有差异的，纳税人应自证券机构代扣并解缴税款的次月1日起3个月内，持加盖证券机构印章的交易记录和相关完整、真实凭证，向主管税务机关提出清算申报并办理清算事宜。主管税务机关审核确认后，按照重新计算的应纳税额，办理退（补）税手续。纳税人在规定期限内未到主管税务机关办理清算事宜的，税务机关不再办理清算事宜，已预扣预缴的税款从纳税保证金账户全额缴入国库。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（二）证券机构技术和制度准备</w:t>
      </w:r>
      <w:r>
        <w:rPr>
          <w:rFonts w:hint="eastAsia" w:ascii="宋体" w:hAnsi="宋体" w:eastAsia="宋体" w:cs="宋体"/>
          <w:b/>
          <w:bCs/>
          <w:color w:val="000000"/>
          <w:kern w:val="0"/>
          <w:sz w:val="24"/>
          <w:szCs w:val="24"/>
        </w:rPr>
        <w:t>完成后</w:t>
      </w:r>
      <w:r>
        <w:rPr>
          <w:rFonts w:hint="eastAsia" w:ascii="宋体" w:hAnsi="宋体" w:eastAsia="宋体" w:cs="宋体"/>
          <w:color w:val="000000"/>
          <w:kern w:val="0"/>
          <w:sz w:val="24"/>
          <w:szCs w:val="24"/>
        </w:rPr>
        <w:t xml:space="preserve">新上市公司的限售股，按照证券机构事先植入结算系统的限售股成本原值和发生的合理税费，以实际转让收入减去原值和合理税费后的余额，适用20%税率，计算直接扣缴个人所得税额。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六、纳税人同时持有限售股及该股流通股的，其股票转让所得，按照限售股优先原则，即：转让股票视同为先转让限售股，按规定计算缴纳个人所得税。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七、证券机构等应积极配合税务机关做好各项征收管理工作，并于</w:t>
      </w:r>
      <w:r>
        <w:rPr>
          <w:rFonts w:hint="eastAsia" w:ascii="宋体" w:hAnsi="宋体" w:eastAsia="宋体" w:cs="宋体"/>
          <w:b/>
          <w:bCs/>
          <w:color w:val="000000"/>
          <w:kern w:val="0"/>
          <w:sz w:val="24"/>
          <w:szCs w:val="24"/>
        </w:rPr>
        <w:t>每月15日前</w:t>
      </w:r>
      <w:r>
        <w:rPr>
          <w:rFonts w:hint="eastAsia" w:ascii="宋体" w:hAnsi="宋体" w:eastAsia="宋体" w:cs="宋体"/>
          <w:color w:val="000000"/>
          <w:kern w:val="0"/>
          <w:sz w:val="24"/>
          <w:szCs w:val="24"/>
        </w:rPr>
        <w:t>，将上月限售股减持的有关信息传递至主管税务机关。</w:t>
      </w:r>
      <w:r>
        <w:rPr>
          <w:rFonts w:hint="eastAsia" w:ascii="方正行楷_GBK" w:hAnsi="方正行楷_GBK" w:eastAsia="方正行楷_GBK" w:cs="方正行楷_GBK"/>
          <w:b/>
          <w:bCs/>
          <w:color w:val="000000"/>
          <w:kern w:val="0"/>
          <w:sz w:val="24"/>
          <w:szCs w:val="24"/>
        </w:rPr>
        <w:t>限售股减持信息</w:t>
      </w:r>
      <w:r>
        <w:rPr>
          <w:rFonts w:hint="eastAsia" w:ascii="宋体" w:hAnsi="宋体" w:eastAsia="宋体" w:cs="宋体"/>
          <w:color w:val="000000"/>
          <w:kern w:val="0"/>
          <w:sz w:val="24"/>
          <w:szCs w:val="24"/>
        </w:rPr>
        <w:t>包括：</w:t>
      </w:r>
      <w:r>
        <w:rPr>
          <w:rFonts w:hint="eastAsia" w:ascii="方正楷体_GBK" w:hAnsi="方正楷体_GBK" w:eastAsia="方正楷体_GBK" w:cs="方正楷体_GBK"/>
          <w:color w:val="FF0000"/>
          <w:kern w:val="0"/>
          <w:sz w:val="24"/>
          <w:szCs w:val="24"/>
        </w:rPr>
        <w:t>股东姓名、公民身份号码、开户证券公司名称及地址、限售股股票代码、本期减持股数及减持取得的收入总额</w:t>
      </w:r>
      <w:r>
        <w:rPr>
          <w:rFonts w:hint="eastAsia" w:ascii="宋体" w:hAnsi="宋体" w:eastAsia="宋体" w:cs="宋体"/>
          <w:color w:val="000000"/>
          <w:kern w:val="0"/>
          <w:sz w:val="24"/>
          <w:szCs w:val="24"/>
        </w:rPr>
        <w:t xml:space="preserve">。证券机构有义务向纳税人提供加盖印章的限售股交易记录。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八、</w:t>
      </w:r>
      <w:r>
        <w:rPr>
          <w:rFonts w:hint="eastAsia" w:ascii="方正大标宋简体" w:hAnsi="方正大标宋简体" w:eastAsia="方正大标宋简体" w:cs="方正大标宋简体"/>
          <w:color w:val="000000"/>
          <w:kern w:val="0"/>
          <w:sz w:val="24"/>
          <w:szCs w:val="24"/>
        </w:rPr>
        <w:t>对个人在</w:t>
      </w:r>
      <w:r>
        <w:rPr>
          <w:rFonts w:hint="eastAsia" w:ascii="方正行楷_GBK" w:hAnsi="方正行楷_GBK" w:eastAsia="方正行楷_GBK" w:cs="方正行楷_GBK"/>
          <w:b/>
          <w:bCs/>
          <w:color w:val="000000"/>
          <w:kern w:val="0"/>
          <w:sz w:val="24"/>
          <w:szCs w:val="24"/>
        </w:rPr>
        <w:t>上海证券交易所、深圳证券交易所</w:t>
      </w:r>
      <w:r>
        <w:rPr>
          <w:rFonts w:hint="eastAsia" w:ascii="方正大标宋简体" w:hAnsi="方正大标宋简体" w:eastAsia="方正大标宋简体" w:cs="方正大标宋简体"/>
          <w:b/>
          <w:bCs/>
          <w:color w:val="FF0000"/>
          <w:kern w:val="0"/>
          <w:sz w:val="24"/>
          <w:szCs w:val="24"/>
        </w:rPr>
        <w:t>转让</w:t>
      </w:r>
      <w:r>
        <w:rPr>
          <w:rFonts w:hint="eastAsia" w:ascii="方正大标宋简体" w:hAnsi="方正大标宋简体" w:eastAsia="方正大标宋简体" w:cs="方正大标宋简体"/>
          <w:color w:val="000000"/>
          <w:kern w:val="0"/>
          <w:sz w:val="24"/>
          <w:szCs w:val="24"/>
        </w:rPr>
        <w:t>从</w:t>
      </w:r>
      <w:r>
        <w:rPr>
          <w:rFonts w:hint="eastAsia" w:ascii="方正大标宋简体" w:hAnsi="方正大标宋简体" w:eastAsia="方正大标宋简体" w:cs="方正大标宋简体"/>
          <w:color w:val="000000"/>
          <w:kern w:val="0"/>
          <w:sz w:val="24"/>
          <w:szCs w:val="24"/>
          <w:highlight w:val="yellow"/>
        </w:rPr>
        <w:t>上市公司公开发行和转让市场取得</w:t>
      </w:r>
      <w:r>
        <w:rPr>
          <w:rFonts w:hint="eastAsia" w:ascii="方正大标宋简体" w:hAnsi="方正大标宋简体" w:eastAsia="方正大标宋简体" w:cs="方正大标宋简体"/>
          <w:color w:val="000000"/>
          <w:kern w:val="0"/>
          <w:sz w:val="24"/>
          <w:szCs w:val="24"/>
        </w:rPr>
        <w:t>的</w:t>
      </w:r>
      <w:r>
        <w:rPr>
          <w:rFonts w:hint="eastAsia" w:ascii="方正魏碑_GBK" w:hAnsi="方正魏碑_GBK" w:eastAsia="方正魏碑_GBK" w:cs="方正魏碑_GBK"/>
          <w:b/>
          <w:bCs/>
          <w:color w:val="000000"/>
          <w:kern w:val="0"/>
          <w:sz w:val="24"/>
          <w:szCs w:val="24"/>
        </w:rPr>
        <w:t>上市公司股票所得</w:t>
      </w:r>
      <w:r>
        <w:rPr>
          <w:rFonts w:hint="eastAsia" w:ascii="方正大标宋简体" w:hAnsi="方正大标宋简体" w:eastAsia="方正大标宋简体" w:cs="方正大标宋简体"/>
          <w:color w:val="FF0000"/>
          <w:kern w:val="0"/>
          <w:sz w:val="24"/>
          <w:szCs w:val="24"/>
        </w:rPr>
        <w:t>，继续免征</w:t>
      </w:r>
      <w:r>
        <w:rPr>
          <w:rFonts w:hint="eastAsia" w:ascii="方正大标宋简体" w:hAnsi="方正大标宋简体" w:eastAsia="方正大标宋简体" w:cs="方正大标宋简体"/>
          <w:color w:val="auto"/>
          <w:kern w:val="0"/>
          <w:sz w:val="24"/>
          <w:szCs w:val="24"/>
        </w:rPr>
        <w:t>个人所得税。</w:t>
      </w:r>
      <w:r>
        <w:rPr>
          <w:rFonts w:hint="eastAsia" w:ascii="宋体" w:hAnsi="宋体" w:eastAsia="宋体" w:cs="宋体"/>
          <w:color w:val="auto"/>
          <w:kern w:val="0"/>
          <w:sz w:val="24"/>
          <w:szCs w:val="24"/>
        </w:rPr>
        <w:t xml:space="preserve"> </w:t>
      </w:r>
    </w:p>
    <w:p>
      <w:pPr>
        <w:widowControl/>
        <w:spacing w:line="540" w:lineRule="atLeast"/>
        <w:jc w:val="left"/>
        <w:rPr>
          <w:rFonts w:ascii="宋体" w:hAnsi="宋体" w:eastAsia="宋体" w:cs="宋体"/>
          <w:color w:val="000000"/>
          <w:spacing w:val="-11"/>
          <w:kern w:val="0"/>
          <w:sz w:val="24"/>
          <w:szCs w:val="24"/>
        </w:rPr>
      </w:pPr>
      <w:r>
        <w:rPr>
          <w:rFonts w:hint="eastAsia" w:ascii="宋体" w:hAnsi="宋体" w:eastAsia="宋体" w:cs="宋体"/>
          <w:color w:val="000000"/>
          <w:kern w:val="0"/>
          <w:sz w:val="24"/>
          <w:szCs w:val="24"/>
        </w:rPr>
        <w:t>　</w:t>
      </w:r>
      <w:r>
        <w:rPr>
          <w:rFonts w:hint="eastAsia" w:ascii="宋体" w:hAnsi="宋体" w:eastAsia="宋体" w:cs="宋体"/>
          <w:color w:val="000000"/>
          <w:spacing w:val="-11"/>
          <w:kern w:val="0"/>
          <w:sz w:val="24"/>
          <w:szCs w:val="24"/>
        </w:rPr>
        <w:t xml:space="preserve">　九、财政、税务、证监等部门要加强协调、通力合作，切实做好政策实施的各项工作。 </w:t>
      </w:r>
    </w:p>
    <w:p>
      <w:pPr>
        <w:widowControl/>
        <w:spacing w:line="540" w:lineRule="atLeast"/>
        <w:jc w:val="left"/>
        <w:rPr>
          <w:rFonts w:hint="eastAsia" w:ascii="ˎ̥" w:hAnsi="ˎ̥"/>
          <w:b/>
          <w:bCs/>
          <w:color w:val="454545"/>
          <w:sz w:val="27"/>
          <w:szCs w:val="27"/>
        </w:rPr>
      </w:pPr>
      <w:r>
        <w:rPr>
          <w:rFonts w:hint="eastAsia" w:ascii="宋体" w:hAnsi="宋体" w:eastAsia="宋体" w:cs="宋体"/>
          <w:color w:val="000000"/>
          <w:spacing w:val="-11"/>
          <w:kern w:val="0"/>
          <w:sz w:val="24"/>
          <w:szCs w:val="24"/>
        </w:rPr>
        <w:t>　</w:t>
      </w:r>
    </w:p>
    <w:p>
      <w:pPr>
        <w:jc w:val="center"/>
        <w:rPr>
          <w:rFonts w:hint="eastAsia" w:ascii="方正大标宋简体" w:hAnsi="方正大标宋简体" w:eastAsia="方正大标宋简体" w:cs="方正大标宋简体"/>
          <w:b/>
          <w:bCs/>
          <w:color w:val="454545"/>
          <w:sz w:val="32"/>
          <w:szCs w:val="32"/>
        </w:rPr>
      </w:pPr>
    </w:p>
    <w:p>
      <w:pPr>
        <w:jc w:val="center"/>
        <w:rPr>
          <w:rFonts w:hint="eastAsia" w:ascii="方正大标宋简体" w:hAnsi="方正大标宋简体" w:eastAsia="方正大标宋简体" w:cs="方正大标宋简体"/>
          <w:b/>
          <w:bCs/>
          <w:color w:val="454545"/>
          <w:sz w:val="32"/>
          <w:szCs w:val="32"/>
        </w:rPr>
      </w:pPr>
      <w:r>
        <w:rPr>
          <w:rFonts w:hint="eastAsia" w:ascii="方正大标宋简体" w:hAnsi="方正大标宋简体" w:eastAsia="方正大标宋简体" w:cs="方正大标宋简体"/>
          <w:b/>
          <w:bCs/>
          <w:color w:val="454545"/>
          <w:sz w:val="32"/>
          <w:szCs w:val="32"/>
        </w:rPr>
        <w:t>财政部 国家税务总局 证监会</w:t>
      </w:r>
    </w:p>
    <w:p>
      <w:pPr>
        <w:jc w:val="center"/>
        <w:rPr>
          <w:rFonts w:hint="eastAsia" w:ascii="方正大标宋简体" w:hAnsi="方正大标宋简体" w:eastAsia="方正大标宋简体" w:cs="方正大标宋简体"/>
          <w:b/>
          <w:bCs/>
          <w:color w:val="454545"/>
          <w:sz w:val="32"/>
          <w:szCs w:val="32"/>
        </w:rPr>
      </w:pPr>
      <w:r>
        <w:rPr>
          <w:rFonts w:hint="eastAsia" w:ascii="方正大标宋简体" w:hAnsi="方正大标宋简体" w:eastAsia="方正大标宋简体" w:cs="方正大标宋简体"/>
          <w:b/>
          <w:bCs/>
          <w:color w:val="454545"/>
          <w:sz w:val="32"/>
          <w:szCs w:val="32"/>
        </w:rPr>
        <w:t>关于个人转让上市公司</w:t>
      </w:r>
      <w:r>
        <w:rPr>
          <w:rFonts w:hint="eastAsia" w:ascii="方正大标宋简体" w:hAnsi="方正大标宋简体" w:eastAsia="方正大标宋简体" w:cs="方正大标宋简体"/>
          <w:b/>
          <w:bCs/>
          <w:color w:val="FF0000"/>
          <w:sz w:val="32"/>
          <w:szCs w:val="32"/>
        </w:rPr>
        <w:t>限售股所得</w:t>
      </w:r>
      <w:r>
        <w:rPr>
          <w:rFonts w:hint="eastAsia" w:ascii="方正大标宋简体" w:hAnsi="方正大标宋简体" w:eastAsia="方正大标宋简体" w:cs="方正大标宋简体"/>
          <w:b/>
          <w:bCs/>
          <w:color w:val="454545"/>
          <w:sz w:val="32"/>
          <w:szCs w:val="32"/>
        </w:rPr>
        <w:t>征收个人所得税</w:t>
      </w:r>
    </w:p>
    <w:p>
      <w:pPr>
        <w:jc w:val="center"/>
        <w:rPr>
          <w:rFonts w:hint="eastAsia" w:ascii="方正大标宋简体" w:hAnsi="方正大标宋简体" w:eastAsia="方正大标宋简体" w:cs="方正大标宋简体"/>
          <w:b/>
          <w:bCs/>
          <w:color w:val="454545"/>
          <w:sz w:val="32"/>
          <w:szCs w:val="32"/>
        </w:rPr>
      </w:pPr>
      <w:r>
        <w:rPr>
          <w:rFonts w:hint="eastAsia" w:ascii="方正大标宋简体" w:hAnsi="方正大标宋简体" w:eastAsia="方正大标宋简体" w:cs="方正大标宋简体"/>
          <w:b/>
          <w:bCs/>
          <w:color w:val="454545"/>
          <w:sz w:val="32"/>
          <w:szCs w:val="32"/>
        </w:rPr>
        <w:t>有关问题的补充通知</w:t>
      </w:r>
    </w:p>
    <w:p>
      <w:pPr>
        <w:jc w:val="center"/>
        <w:rPr>
          <w:rFonts w:hint="eastAsia" w:ascii="黑体" w:hAnsi="黑体" w:eastAsia="黑体" w:cs="黑体"/>
          <w:b w:val="0"/>
          <w:bCs w:val="0"/>
          <w:color w:val="000000" w:themeColor="text1"/>
          <w:sz w:val="24"/>
          <w:szCs w:val="24"/>
          <w:highlight w:val="none"/>
          <w:lang w:val="en-US" w:eastAsia="zh-CN"/>
          <w14:textFill>
            <w14:solidFill>
              <w14:schemeClr w14:val="tx1"/>
            </w14:solidFill>
          </w14:textFill>
        </w:rPr>
      </w:pPr>
      <w:r>
        <w:rPr>
          <w:rFonts w:hint="eastAsia" w:ascii="黑体" w:hAnsi="黑体" w:eastAsia="黑体" w:cs="黑体"/>
          <w:b/>
          <w:bCs/>
          <w:color w:val="DF0000"/>
          <w:sz w:val="24"/>
          <w:szCs w:val="24"/>
          <w:highlight w:val="yellow"/>
        </w:rPr>
        <w:t>财税〔2010〕70号</w:t>
      </w:r>
      <w:r>
        <w:rPr>
          <w:rFonts w:hint="eastAsia" w:ascii="黑体" w:hAnsi="黑体" w:eastAsia="黑体" w:cs="黑体"/>
          <w:b/>
          <w:bCs/>
          <w:color w:val="DF0000"/>
          <w:sz w:val="24"/>
          <w:szCs w:val="24"/>
          <w:highlight w:val="yellow"/>
          <w:lang w:val="en-US" w:eastAsia="zh-CN"/>
        </w:rPr>
        <w:t xml:space="preserve"> </w:t>
      </w:r>
      <w:r>
        <w:rPr>
          <w:rFonts w:hint="eastAsia" w:ascii="黑体" w:hAnsi="黑体" w:eastAsia="黑体" w:cs="黑体"/>
          <w:b w:val="0"/>
          <w:bCs w:val="0"/>
          <w:color w:val="000000" w:themeColor="text1"/>
          <w:sz w:val="24"/>
          <w:szCs w:val="24"/>
          <w:highlight w:val="none"/>
          <w:lang w:val="en-US" w:eastAsia="zh-CN"/>
          <w14:textFill>
            <w14:solidFill>
              <w14:schemeClr w14:val="tx1"/>
            </w14:solidFill>
          </w14:textFill>
        </w:rPr>
        <w:t xml:space="preserve"> 2010年11月10日</w:t>
      </w:r>
    </w:p>
    <w:p>
      <w:pPr>
        <w:jc w:val="center"/>
        <w:rPr>
          <w:rFonts w:hint="default" w:ascii="黑体" w:hAnsi="黑体" w:eastAsia="黑体" w:cs="黑体"/>
          <w:b w:val="0"/>
          <w:bCs w:val="0"/>
          <w:color w:val="000000" w:themeColor="text1"/>
          <w:sz w:val="24"/>
          <w:szCs w:val="24"/>
          <w:highlight w:val="none"/>
          <w:lang w:val="en-US" w:eastAsia="zh-CN"/>
          <w14:textFill>
            <w14:solidFill>
              <w14:schemeClr w14:val="tx1"/>
            </w14:solidFill>
          </w14:textFill>
        </w:rPr>
      </w:pPr>
    </w:p>
    <w:p>
      <w:pPr>
        <w:widowControl/>
        <w:spacing w:line="540" w:lineRule="atLeast"/>
        <w:jc w:val="left"/>
        <w:rPr>
          <w:rFonts w:hint="eastAsia" w:ascii="方正楷体_GBK" w:hAnsi="方正楷体_GBK" w:eastAsia="方正楷体_GBK" w:cs="方正楷体_GBK"/>
          <w:color w:val="000000"/>
          <w:kern w:val="0"/>
          <w:sz w:val="24"/>
          <w:szCs w:val="24"/>
          <w:highlight w:val="cyan"/>
        </w:rPr>
      </w:pPr>
      <w:r>
        <w:rPr>
          <w:rFonts w:hint="eastAsia" w:ascii="宋体" w:hAnsi="宋体" w:eastAsia="宋体" w:cs="宋体"/>
          <w:color w:val="000000"/>
          <w:kern w:val="0"/>
          <w:sz w:val="24"/>
          <w:szCs w:val="24"/>
        </w:rPr>
        <w:t>　　为进一步规范个人转让上市公司限售股（以下简称限售股）税收政策，加强税收征管，根据财政部、国家税务总局、证监会《关于个人转让上市公司限售股征收个人所得税有关问题的通知》（</w:t>
      </w:r>
      <w:r>
        <w:rPr>
          <w:rFonts w:hint="eastAsia" w:ascii="方正楷体_GBK" w:hAnsi="方正楷体_GBK" w:eastAsia="方正楷体_GBK" w:cs="方正楷体_GBK"/>
          <w:b/>
          <w:bCs/>
          <w:color w:val="000000"/>
          <w:kern w:val="0"/>
          <w:sz w:val="24"/>
          <w:szCs w:val="24"/>
        </w:rPr>
        <w:t>财税[2009]167号</w:t>
      </w:r>
      <w:r>
        <w:rPr>
          <w:rFonts w:hint="eastAsia" w:ascii="宋体" w:hAnsi="宋体" w:eastAsia="宋体" w:cs="宋体"/>
          <w:color w:val="000000"/>
          <w:kern w:val="0"/>
          <w:sz w:val="24"/>
          <w:szCs w:val="24"/>
        </w:rPr>
        <w:t>）的有关规定，现将个人转让限售股所得征收个人所得税有关政策问题补充通知如下：</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　</w:t>
      </w:r>
      <w:r>
        <w:rPr>
          <w:rFonts w:hint="eastAsia" w:ascii="黑体" w:hAnsi="黑体" w:eastAsia="黑体" w:cs="黑体"/>
          <w:b/>
          <w:bCs/>
          <w:color w:val="000000"/>
          <w:kern w:val="0"/>
          <w:sz w:val="24"/>
          <w:szCs w:val="24"/>
        </w:rPr>
        <w:t>一、本通知所称</w:t>
      </w:r>
      <w:r>
        <w:rPr>
          <w:rFonts w:hint="eastAsia" w:ascii="方正大标宋简体" w:hAnsi="方正大标宋简体" w:eastAsia="方正大标宋简体" w:cs="方正大标宋简体"/>
          <w:b/>
          <w:bCs/>
          <w:color w:val="FF0000"/>
          <w:kern w:val="0"/>
          <w:sz w:val="24"/>
          <w:szCs w:val="24"/>
          <w:highlight w:val="yellow"/>
        </w:rPr>
        <w:t>限售股</w:t>
      </w:r>
      <w:r>
        <w:rPr>
          <w:rFonts w:hint="eastAsia" w:ascii="黑体" w:hAnsi="黑体" w:eastAsia="黑体" w:cs="黑体"/>
          <w:b/>
          <w:bCs/>
          <w:color w:val="000000"/>
          <w:kern w:val="0"/>
          <w:sz w:val="24"/>
          <w:szCs w:val="24"/>
        </w:rPr>
        <w:t>，包括：</w:t>
      </w:r>
      <w:r>
        <w:rPr>
          <w:rFonts w:hint="eastAsia" w:ascii="宋体" w:hAnsi="宋体" w:eastAsia="宋体" w:cs="宋体"/>
          <w:b/>
          <w:bCs/>
          <w:color w:val="000000"/>
          <w:kern w:val="0"/>
          <w:sz w:val="24"/>
          <w:szCs w:val="24"/>
        </w:rPr>
        <w:br w:type="textWrapping"/>
      </w:r>
      <w:r>
        <w:rPr>
          <w:rFonts w:hint="eastAsia" w:ascii="宋体" w:hAnsi="宋体" w:eastAsia="宋体" w:cs="宋体"/>
          <w:color w:val="000000"/>
          <w:kern w:val="0"/>
          <w:sz w:val="24"/>
          <w:szCs w:val="24"/>
        </w:rPr>
        <w:t>　　</w:t>
      </w:r>
      <w:r>
        <w:rPr>
          <w:rFonts w:hint="eastAsia" w:ascii="方正楷体_GBK" w:hAnsi="方正楷体_GBK" w:eastAsia="方正楷体_GBK" w:cs="方正楷体_GBK"/>
          <w:color w:val="000000"/>
          <w:kern w:val="0"/>
          <w:sz w:val="24"/>
          <w:szCs w:val="24"/>
        </w:rPr>
        <w:t>（一）</w:t>
      </w:r>
      <w:r>
        <w:rPr>
          <w:rFonts w:hint="eastAsia" w:ascii="方正楷体_GBK" w:hAnsi="方正楷体_GBK" w:eastAsia="方正楷体_GBK" w:cs="方正楷体_GBK"/>
          <w:b/>
          <w:bCs/>
          <w:color w:val="000000"/>
          <w:kern w:val="0"/>
          <w:sz w:val="24"/>
          <w:szCs w:val="24"/>
        </w:rPr>
        <w:t>财税[2009]167号文件规定的限售股</w:t>
      </w:r>
      <w:r>
        <w:rPr>
          <w:rFonts w:hint="eastAsia" w:ascii="方正楷体_GBK" w:hAnsi="方正楷体_GBK" w:eastAsia="方正楷体_GBK" w:cs="方正楷体_GBK"/>
          <w:color w:val="000000"/>
          <w:kern w:val="0"/>
          <w:sz w:val="24"/>
          <w:szCs w:val="24"/>
        </w:rPr>
        <w:t>；</w:t>
      </w:r>
      <w:r>
        <w:rPr>
          <w:rFonts w:hint="eastAsia" w:ascii="方正楷体_GBK" w:hAnsi="方正楷体_GBK" w:eastAsia="方正楷体_GBK" w:cs="方正楷体_GBK"/>
          <w:color w:val="000000"/>
          <w:kern w:val="0"/>
          <w:sz w:val="24"/>
          <w:szCs w:val="24"/>
        </w:rPr>
        <w:br w:type="textWrapping"/>
      </w:r>
      <w:r>
        <w:rPr>
          <w:rFonts w:hint="eastAsia" w:ascii="方正楷体_GBK" w:hAnsi="方正楷体_GBK" w:eastAsia="方正楷体_GBK" w:cs="方正楷体_GBK"/>
          <w:color w:val="000000"/>
          <w:kern w:val="0"/>
          <w:sz w:val="24"/>
          <w:szCs w:val="24"/>
        </w:rPr>
        <w:t>　　</w:t>
      </w:r>
      <w:r>
        <w:rPr>
          <w:rFonts w:hint="eastAsia" w:ascii="方正楷体_GBK" w:hAnsi="方正楷体_GBK" w:eastAsia="方正楷体_GBK" w:cs="方正楷体_GBK"/>
          <w:color w:val="000000"/>
          <w:kern w:val="0"/>
          <w:sz w:val="24"/>
          <w:szCs w:val="24"/>
          <w:highlight w:val="cyan"/>
        </w:rPr>
        <w:t>（二）个人从机构或其他个人</w:t>
      </w:r>
      <w:r>
        <w:rPr>
          <w:rFonts w:hint="eastAsia" w:ascii="方正楷体_GBK" w:hAnsi="方正楷体_GBK" w:eastAsia="方正楷体_GBK" w:cs="方正楷体_GBK"/>
          <w:b/>
          <w:bCs/>
          <w:color w:val="000000"/>
          <w:kern w:val="0"/>
          <w:sz w:val="24"/>
          <w:szCs w:val="24"/>
          <w:highlight w:val="cyan"/>
        </w:rPr>
        <w:t>受让</w:t>
      </w:r>
      <w:r>
        <w:rPr>
          <w:rFonts w:hint="eastAsia" w:ascii="方正楷体_GBK" w:hAnsi="方正楷体_GBK" w:eastAsia="方正楷体_GBK" w:cs="方正楷体_GBK"/>
          <w:color w:val="000000"/>
          <w:kern w:val="0"/>
          <w:sz w:val="24"/>
          <w:szCs w:val="24"/>
          <w:highlight w:val="cyan"/>
        </w:rPr>
        <w:t>的</w:t>
      </w:r>
      <w:r>
        <w:rPr>
          <w:rFonts w:hint="eastAsia" w:ascii="方正楷体_GBK" w:hAnsi="方正楷体_GBK" w:eastAsia="方正楷体_GBK" w:cs="方正楷体_GBK"/>
          <w:color w:val="FF0000"/>
          <w:kern w:val="0"/>
          <w:sz w:val="24"/>
          <w:szCs w:val="24"/>
          <w:highlight w:val="cyan"/>
        </w:rPr>
        <w:t>未解禁</w:t>
      </w:r>
      <w:r>
        <w:rPr>
          <w:rFonts w:hint="eastAsia" w:ascii="方正楷体_GBK" w:hAnsi="方正楷体_GBK" w:eastAsia="方正楷体_GBK" w:cs="方正楷体_GBK"/>
          <w:color w:val="000000"/>
          <w:kern w:val="0"/>
          <w:sz w:val="24"/>
          <w:szCs w:val="24"/>
          <w:highlight w:val="cyan"/>
        </w:rPr>
        <w:t>限售股；</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（三）个人因</w:t>
      </w:r>
      <w:r>
        <w:rPr>
          <w:rFonts w:hint="eastAsia" w:ascii="方正楷体_GBK" w:hAnsi="方正楷体_GBK" w:eastAsia="方正楷体_GBK" w:cs="方正楷体_GBK"/>
          <w:b/>
          <w:bCs/>
          <w:color w:val="auto"/>
          <w:kern w:val="0"/>
          <w:sz w:val="24"/>
          <w:szCs w:val="24"/>
          <w:highlight w:val="cyan"/>
        </w:rPr>
        <w:t>依法继承</w:t>
      </w:r>
      <w:r>
        <w:rPr>
          <w:rFonts w:hint="eastAsia" w:ascii="方正楷体_GBK" w:hAnsi="方正楷体_GBK" w:eastAsia="方正楷体_GBK" w:cs="方正楷体_GBK"/>
          <w:color w:val="000000"/>
          <w:kern w:val="0"/>
          <w:sz w:val="24"/>
          <w:szCs w:val="24"/>
          <w:highlight w:val="cyan"/>
        </w:rPr>
        <w:t>或</w:t>
      </w:r>
      <w:r>
        <w:rPr>
          <w:rFonts w:hint="eastAsia" w:ascii="方正楷体_GBK" w:hAnsi="方正楷体_GBK" w:eastAsia="方正楷体_GBK" w:cs="方正楷体_GBK"/>
          <w:b/>
          <w:bCs/>
          <w:color w:val="000000"/>
          <w:kern w:val="0"/>
          <w:sz w:val="24"/>
          <w:szCs w:val="24"/>
          <w:highlight w:val="cyan"/>
        </w:rPr>
        <w:t>家庭财产依法分割</w:t>
      </w:r>
      <w:r>
        <w:rPr>
          <w:rFonts w:hint="eastAsia" w:ascii="方正楷体_GBK" w:hAnsi="方正楷体_GBK" w:eastAsia="方正楷体_GBK" w:cs="方正楷体_GBK"/>
          <w:color w:val="000000"/>
          <w:kern w:val="0"/>
          <w:sz w:val="24"/>
          <w:szCs w:val="24"/>
          <w:highlight w:val="cyan"/>
        </w:rPr>
        <w:t>取得的限售股；</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（四）个人持有的</w:t>
      </w:r>
      <w:r>
        <w:rPr>
          <w:rFonts w:hint="eastAsia" w:ascii="方正楷体_GBK" w:hAnsi="方正楷体_GBK" w:eastAsia="方正楷体_GBK" w:cs="方正楷体_GBK"/>
          <w:b/>
          <w:bCs/>
          <w:color w:val="000000"/>
          <w:kern w:val="0"/>
          <w:sz w:val="24"/>
          <w:szCs w:val="24"/>
          <w:highlight w:val="cyan"/>
        </w:rPr>
        <w:t>从代办股份转让系统转到</w:t>
      </w:r>
      <w:r>
        <w:rPr>
          <w:rFonts w:hint="eastAsia" w:ascii="方正楷体_GBK" w:hAnsi="方正楷体_GBK" w:eastAsia="方正楷体_GBK" w:cs="方正楷体_GBK"/>
          <w:color w:val="000000"/>
          <w:kern w:val="0"/>
          <w:sz w:val="24"/>
          <w:szCs w:val="24"/>
          <w:highlight w:val="cyan"/>
        </w:rPr>
        <w:t>主板市场（或中小板、创业板市场）的限售股；</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（五）上市公司</w:t>
      </w:r>
      <w:r>
        <w:rPr>
          <w:rFonts w:hint="eastAsia" w:ascii="方正楷体_GBK" w:hAnsi="方正楷体_GBK" w:eastAsia="方正楷体_GBK" w:cs="方正楷体_GBK"/>
          <w:b/>
          <w:bCs/>
          <w:color w:val="000000"/>
          <w:kern w:val="0"/>
          <w:sz w:val="24"/>
          <w:szCs w:val="24"/>
          <w:highlight w:val="cyan"/>
        </w:rPr>
        <w:t>吸收合并</w:t>
      </w:r>
      <w:r>
        <w:rPr>
          <w:rFonts w:hint="eastAsia" w:ascii="方正楷体_GBK" w:hAnsi="方正楷体_GBK" w:eastAsia="方正楷体_GBK" w:cs="方正楷体_GBK"/>
          <w:color w:val="000000"/>
          <w:kern w:val="0"/>
          <w:sz w:val="24"/>
          <w:szCs w:val="24"/>
          <w:highlight w:val="cyan"/>
        </w:rPr>
        <w:t>中，个人持有的原被合并方公司限售股所转换的合并方公司股份；</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（六）上市公司</w:t>
      </w:r>
      <w:r>
        <w:rPr>
          <w:rFonts w:hint="eastAsia" w:ascii="方正楷体_GBK" w:hAnsi="方正楷体_GBK" w:eastAsia="方正楷体_GBK" w:cs="方正楷体_GBK"/>
          <w:b/>
          <w:bCs/>
          <w:color w:val="000000"/>
          <w:kern w:val="0"/>
          <w:sz w:val="24"/>
          <w:szCs w:val="24"/>
          <w:highlight w:val="cyan"/>
        </w:rPr>
        <w:t>分立</w:t>
      </w:r>
      <w:r>
        <w:rPr>
          <w:rFonts w:hint="eastAsia" w:ascii="方正楷体_GBK" w:hAnsi="方正楷体_GBK" w:eastAsia="方正楷体_GBK" w:cs="方正楷体_GBK"/>
          <w:color w:val="000000"/>
          <w:kern w:val="0"/>
          <w:sz w:val="24"/>
          <w:szCs w:val="24"/>
          <w:highlight w:val="cyan"/>
        </w:rPr>
        <w:t>中，个人持有的被分立方公司限售股所转换的分立后公司股份；</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（七）其他限售股。</w:t>
      </w:r>
    </w:p>
    <w:p>
      <w:pPr>
        <w:widowControl/>
        <w:spacing w:line="540" w:lineRule="atLeast"/>
        <w:jc w:val="left"/>
        <w:rPr>
          <w:rFonts w:hint="eastAsia" w:ascii="方正楷体_GBK" w:hAnsi="方正楷体_GBK" w:eastAsia="方正楷体_GBK" w:cs="方正楷体_GBK"/>
          <w:color w:val="000000"/>
          <w:kern w:val="0"/>
          <w:sz w:val="24"/>
          <w:szCs w:val="24"/>
          <w:highlight w:val="cyan"/>
        </w:rPr>
      </w:pP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黑体" w:hAnsi="黑体" w:eastAsia="黑体" w:cs="黑体"/>
          <w:color w:val="000000"/>
          <w:kern w:val="0"/>
          <w:sz w:val="24"/>
          <w:szCs w:val="24"/>
        </w:rPr>
        <w:t>　二、根据《个人所得税法实施条例》第八条、第十条的规定，个人转让限售股或</w:t>
      </w:r>
      <w:r>
        <w:rPr>
          <w:rFonts w:hint="eastAsia" w:ascii="黑体" w:hAnsi="黑体" w:eastAsia="黑体" w:cs="黑体"/>
          <w:b/>
          <w:bCs/>
          <w:color w:val="000000"/>
          <w:kern w:val="0"/>
          <w:sz w:val="24"/>
          <w:szCs w:val="24"/>
        </w:rPr>
        <w:t>发生</w:t>
      </w:r>
      <w:r>
        <w:rPr>
          <w:rFonts w:hint="eastAsia" w:ascii="黑体" w:hAnsi="黑体" w:eastAsia="黑体" w:cs="黑体"/>
          <w:b/>
          <w:bCs/>
          <w:color w:val="FF0000"/>
          <w:kern w:val="0"/>
          <w:sz w:val="24"/>
          <w:szCs w:val="24"/>
        </w:rPr>
        <w:t>具有转让限售股实质</w:t>
      </w:r>
      <w:r>
        <w:rPr>
          <w:rFonts w:hint="eastAsia" w:ascii="黑体" w:hAnsi="黑体" w:eastAsia="黑体" w:cs="黑体"/>
          <w:b/>
          <w:bCs/>
          <w:color w:val="000000"/>
          <w:kern w:val="0"/>
          <w:sz w:val="24"/>
          <w:szCs w:val="24"/>
        </w:rPr>
        <w:t>的其他交易，</w:t>
      </w:r>
      <w:r>
        <w:rPr>
          <w:rFonts w:hint="eastAsia" w:ascii="黑体" w:hAnsi="黑体" w:eastAsia="黑体" w:cs="黑体"/>
          <w:color w:val="000000"/>
          <w:kern w:val="0"/>
          <w:sz w:val="24"/>
          <w:szCs w:val="24"/>
        </w:rPr>
        <w:t>取得现金、实物、有价证券和其他形式的经济利益均应缴纳个人所得税。</w:t>
      </w:r>
      <w:r>
        <w:rPr>
          <w:rFonts w:hint="eastAsia" w:ascii="黑体" w:hAnsi="黑体" w:eastAsia="黑体" w:cs="黑体"/>
          <w:b/>
          <w:bCs/>
          <w:color w:val="7030A0"/>
          <w:kern w:val="0"/>
          <w:sz w:val="24"/>
          <w:szCs w:val="24"/>
        </w:rPr>
        <w:t>限售股在解禁前被多次转让的，转让方对每一次转让所得均应按规定缴纳个人所得税。</w:t>
      </w:r>
      <w:r>
        <w:rPr>
          <w:rFonts w:hint="eastAsia" w:ascii="方正行楷_GBK" w:hAnsi="方正行楷_GBK" w:eastAsia="方正行楷_GBK" w:cs="方正行楷_GBK"/>
          <w:color w:val="FF0000"/>
          <w:kern w:val="0"/>
          <w:sz w:val="28"/>
          <w:szCs w:val="28"/>
          <w:highlight w:val="yellow"/>
        </w:rPr>
        <w:t>对具有下列情形的，应</w:t>
      </w:r>
      <w:r>
        <w:rPr>
          <w:rFonts w:hint="eastAsia" w:ascii="方正行楷_GBK" w:hAnsi="方正行楷_GBK" w:eastAsia="方正行楷_GBK" w:cs="方正行楷_GBK"/>
          <w:b/>
          <w:bCs/>
          <w:color w:val="C00000"/>
          <w:kern w:val="0"/>
          <w:sz w:val="28"/>
          <w:szCs w:val="28"/>
          <w:highlight w:val="yellow"/>
        </w:rPr>
        <w:t>按规定征收</w:t>
      </w:r>
      <w:r>
        <w:rPr>
          <w:rFonts w:hint="eastAsia" w:ascii="方正行楷_GBK" w:hAnsi="方正行楷_GBK" w:eastAsia="方正行楷_GBK" w:cs="方正行楷_GBK"/>
          <w:color w:val="FF0000"/>
          <w:kern w:val="0"/>
          <w:sz w:val="28"/>
          <w:szCs w:val="28"/>
          <w:highlight w:val="yellow"/>
        </w:rPr>
        <w:t>个人所得税</w:t>
      </w:r>
      <w:r>
        <w:rPr>
          <w:rFonts w:hint="eastAsia" w:ascii="方正行楷_GBK" w:hAnsi="方正行楷_GBK" w:eastAsia="方正行楷_GBK" w:cs="方正行楷_GBK"/>
          <w:color w:val="FF0000"/>
          <w:kern w:val="0"/>
          <w:sz w:val="28"/>
          <w:szCs w:val="28"/>
        </w:rPr>
        <w:t>：</w:t>
      </w:r>
      <w:r>
        <w:rPr>
          <w:rFonts w:hint="eastAsia" w:ascii="方正行楷_GBK" w:hAnsi="方正行楷_GBK" w:eastAsia="方正行楷_GBK" w:cs="方正行楷_GBK"/>
          <w:color w:val="FF0000"/>
          <w:kern w:val="0"/>
          <w:sz w:val="24"/>
          <w:szCs w:val="24"/>
        </w:rPr>
        <w:br w:type="textWrapping"/>
      </w:r>
      <w:r>
        <w:rPr>
          <w:rFonts w:hint="eastAsia" w:ascii="宋体" w:hAnsi="宋体" w:eastAsia="宋体" w:cs="宋体"/>
          <w:color w:val="000000"/>
          <w:kern w:val="0"/>
          <w:sz w:val="24"/>
          <w:szCs w:val="24"/>
        </w:rPr>
        <w:t>　　</w:t>
      </w:r>
      <w:r>
        <w:rPr>
          <w:rFonts w:hint="eastAsia" w:ascii="方正宋体S-超大字符集(SIP)" w:hAnsi="方正宋体S-超大字符集(SIP)" w:eastAsia="方正宋体S-超大字符集(SIP)" w:cs="方正宋体S-超大字符集(SIP)"/>
          <w:color w:val="000000"/>
          <w:kern w:val="0"/>
          <w:sz w:val="24"/>
          <w:szCs w:val="24"/>
          <w:highlight w:val="cyan"/>
        </w:rPr>
        <w:t>（一）个人</w:t>
      </w:r>
      <w:r>
        <w:rPr>
          <w:rFonts w:hint="eastAsia" w:ascii="方正宋体S-超大字符集(SIP)" w:hAnsi="方正宋体S-超大字符集(SIP)" w:eastAsia="方正宋体S-超大字符集(SIP)" w:cs="方正宋体S-超大字符集(SIP)"/>
          <w:b/>
          <w:bCs/>
          <w:color w:val="000000"/>
          <w:kern w:val="0"/>
          <w:sz w:val="24"/>
          <w:szCs w:val="24"/>
          <w:highlight w:val="cyan"/>
        </w:rPr>
        <w:t>通过证券交易所集中交易系统或大宗交易系统</w:t>
      </w:r>
      <w:r>
        <w:rPr>
          <w:rFonts w:hint="eastAsia" w:ascii="方正宋体S-超大字符集(SIP)" w:hAnsi="方正宋体S-超大字符集(SIP)" w:eastAsia="方正宋体S-超大字符集(SIP)" w:cs="方正宋体S-超大字符集(SIP)"/>
          <w:color w:val="000000"/>
          <w:kern w:val="0"/>
          <w:sz w:val="24"/>
          <w:szCs w:val="24"/>
          <w:highlight w:val="cyan"/>
        </w:rPr>
        <w:t>转让限售股；</w:t>
      </w:r>
      <w:r>
        <w:rPr>
          <w:rFonts w:hint="eastAsia" w:ascii="方正宋体S-超大字符集(SIP)" w:hAnsi="方正宋体S-超大字符集(SIP)" w:eastAsia="方正宋体S-超大字符集(SIP)" w:cs="方正宋体S-超大字符集(SIP)"/>
          <w:color w:val="000000"/>
          <w:kern w:val="0"/>
          <w:sz w:val="24"/>
          <w:szCs w:val="24"/>
          <w:highlight w:val="cyan"/>
        </w:rPr>
        <w:br w:type="textWrapping"/>
      </w:r>
      <w:r>
        <w:rPr>
          <w:rFonts w:hint="eastAsia" w:ascii="方正宋体S-超大字符集(SIP)" w:hAnsi="方正宋体S-超大字符集(SIP)" w:eastAsia="方正宋体S-超大字符集(SIP)" w:cs="方正宋体S-超大字符集(SIP)"/>
          <w:color w:val="000000"/>
          <w:kern w:val="0"/>
          <w:sz w:val="24"/>
          <w:szCs w:val="24"/>
          <w:highlight w:val="cyan"/>
        </w:rPr>
        <w:t>　　（二）个人用限售股</w:t>
      </w:r>
      <w:r>
        <w:rPr>
          <w:rFonts w:hint="eastAsia" w:ascii="方正宋体S-超大字符集(SIP)" w:hAnsi="方正宋体S-超大字符集(SIP)" w:eastAsia="方正宋体S-超大字符集(SIP)" w:cs="方正宋体S-超大字符集(SIP)"/>
          <w:b/>
          <w:bCs/>
          <w:color w:val="000000"/>
          <w:kern w:val="0"/>
          <w:sz w:val="24"/>
          <w:szCs w:val="24"/>
          <w:highlight w:val="cyan"/>
        </w:rPr>
        <w:t>认购或申购</w:t>
      </w:r>
      <w:r>
        <w:rPr>
          <w:rFonts w:hint="eastAsia" w:ascii="方正宋体S-超大字符集(SIP)" w:hAnsi="方正宋体S-超大字符集(SIP)" w:eastAsia="方正宋体S-超大字符集(SIP)" w:cs="方正宋体S-超大字符集(SIP)"/>
          <w:color w:val="000000"/>
          <w:kern w:val="0"/>
          <w:sz w:val="24"/>
          <w:szCs w:val="24"/>
          <w:highlight w:val="cyan"/>
        </w:rPr>
        <w:t>交易型开放式指数基金（ETF）份额；</w:t>
      </w:r>
      <w:r>
        <w:rPr>
          <w:rFonts w:hint="eastAsia" w:ascii="方正宋体S-超大字符集(SIP)" w:hAnsi="方正宋体S-超大字符集(SIP)" w:eastAsia="方正宋体S-超大字符集(SIP)" w:cs="方正宋体S-超大字符集(SIP)"/>
          <w:color w:val="000000"/>
          <w:kern w:val="0"/>
          <w:sz w:val="24"/>
          <w:szCs w:val="24"/>
          <w:highlight w:val="cyan"/>
        </w:rPr>
        <w:br w:type="textWrapping"/>
      </w:r>
      <w:r>
        <w:rPr>
          <w:rFonts w:hint="eastAsia" w:ascii="方正宋体S-超大字符集(SIP)" w:hAnsi="方正宋体S-超大字符集(SIP)" w:eastAsia="方正宋体S-超大字符集(SIP)" w:cs="方正宋体S-超大字符集(SIP)"/>
          <w:color w:val="000000"/>
          <w:kern w:val="0"/>
          <w:sz w:val="24"/>
          <w:szCs w:val="24"/>
          <w:highlight w:val="cyan"/>
        </w:rPr>
        <w:t>　　（三）个人用限售股</w:t>
      </w:r>
      <w:r>
        <w:rPr>
          <w:rFonts w:hint="eastAsia" w:ascii="方正宋体S-超大字符集(SIP)" w:hAnsi="方正宋体S-超大字符集(SIP)" w:eastAsia="方正宋体S-超大字符集(SIP)" w:cs="方正宋体S-超大字符集(SIP)"/>
          <w:b/>
          <w:bCs/>
          <w:color w:val="000000"/>
          <w:kern w:val="0"/>
          <w:sz w:val="24"/>
          <w:szCs w:val="24"/>
          <w:highlight w:val="cyan"/>
        </w:rPr>
        <w:t>接受要约收购</w:t>
      </w:r>
      <w:r>
        <w:rPr>
          <w:rFonts w:hint="eastAsia" w:ascii="方正宋体S-超大字符集(SIP)" w:hAnsi="方正宋体S-超大字符集(SIP)" w:eastAsia="方正宋体S-超大字符集(SIP)" w:cs="方正宋体S-超大字符集(SIP)"/>
          <w:color w:val="000000"/>
          <w:kern w:val="0"/>
          <w:sz w:val="24"/>
          <w:szCs w:val="24"/>
          <w:highlight w:val="cyan"/>
        </w:rPr>
        <w:t>；</w:t>
      </w:r>
      <w:r>
        <w:rPr>
          <w:rFonts w:hint="eastAsia" w:ascii="方正宋体S-超大字符集(SIP)" w:hAnsi="方正宋体S-超大字符集(SIP)" w:eastAsia="方正宋体S-超大字符集(SIP)" w:cs="方正宋体S-超大字符集(SIP)"/>
          <w:color w:val="000000"/>
          <w:kern w:val="0"/>
          <w:sz w:val="24"/>
          <w:szCs w:val="24"/>
          <w:highlight w:val="cyan"/>
        </w:rPr>
        <w:br w:type="textWrapping"/>
      </w:r>
      <w:r>
        <w:rPr>
          <w:rFonts w:hint="eastAsia" w:ascii="方正宋体S-超大字符集(SIP)" w:hAnsi="方正宋体S-超大字符集(SIP)" w:eastAsia="方正宋体S-超大字符集(SIP)" w:cs="方正宋体S-超大字符集(SIP)"/>
          <w:color w:val="000000"/>
          <w:kern w:val="0"/>
          <w:sz w:val="24"/>
          <w:szCs w:val="24"/>
          <w:highlight w:val="cyan"/>
        </w:rPr>
        <w:t>　　（四）个人</w:t>
      </w:r>
      <w:r>
        <w:rPr>
          <w:rFonts w:hint="eastAsia" w:ascii="方正宋体S-超大字符集(SIP)" w:hAnsi="方正宋体S-超大字符集(SIP)" w:eastAsia="方正宋体S-超大字符集(SIP)" w:cs="方正宋体S-超大字符集(SIP)"/>
          <w:b/>
          <w:bCs/>
          <w:color w:val="000000"/>
          <w:kern w:val="0"/>
          <w:sz w:val="24"/>
          <w:szCs w:val="24"/>
          <w:highlight w:val="cyan"/>
        </w:rPr>
        <w:t>行使现金选择权</w:t>
      </w:r>
      <w:r>
        <w:rPr>
          <w:rFonts w:hint="eastAsia" w:ascii="方正宋体S-超大字符集(SIP)" w:hAnsi="方正宋体S-超大字符集(SIP)" w:eastAsia="方正宋体S-超大字符集(SIP)" w:cs="方正宋体S-超大字符集(SIP)"/>
          <w:color w:val="000000"/>
          <w:kern w:val="0"/>
          <w:sz w:val="24"/>
          <w:szCs w:val="24"/>
          <w:highlight w:val="cyan"/>
        </w:rPr>
        <w:t>将限售股转让给提供现金选择权的第三方；</w:t>
      </w:r>
      <w:r>
        <w:rPr>
          <w:rFonts w:hint="eastAsia" w:ascii="方正宋体S-超大字符集(SIP)" w:hAnsi="方正宋体S-超大字符集(SIP)" w:eastAsia="方正宋体S-超大字符集(SIP)" w:cs="方正宋体S-超大字符集(SIP)"/>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（五）个人</w:t>
      </w:r>
      <w:r>
        <w:rPr>
          <w:rFonts w:hint="eastAsia" w:ascii="方正楷体_GBK" w:hAnsi="方正楷体_GBK" w:eastAsia="方正楷体_GBK" w:cs="方正楷体_GBK"/>
          <w:b/>
          <w:bCs/>
          <w:color w:val="000000"/>
          <w:kern w:val="0"/>
          <w:sz w:val="24"/>
          <w:szCs w:val="24"/>
          <w:highlight w:val="cyan"/>
        </w:rPr>
        <w:t>协议转让</w:t>
      </w:r>
      <w:r>
        <w:rPr>
          <w:rFonts w:hint="eastAsia" w:ascii="方正楷体_GBK" w:hAnsi="方正楷体_GBK" w:eastAsia="方正楷体_GBK" w:cs="方正楷体_GBK"/>
          <w:color w:val="000000"/>
          <w:kern w:val="0"/>
          <w:sz w:val="24"/>
          <w:szCs w:val="24"/>
          <w:highlight w:val="cyan"/>
        </w:rPr>
        <w:t>限售股；</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（六）个人持有的限售股</w:t>
      </w:r>
      <w:r>
        <w:rPr>
          <w:rFonts w:hint="eastAsia" w:ascii="方正楷体_GBK" w:hAnsi="方正楷体_GBK" w:eastAsia="方正楷体_GBK" w:cs="方正楷体_GBK"/>
          <w:b/>
          <w:bCs/>
          <w:color w:val="000000"/>
          <w:kern w:val="0"/>
          <w:sz w:val="24"/>
          <w:szCs w:val="24"/>
          <w:highlight w:val="cyan"/>
        </w:rPr>
        <w:t>被司法扣划</w:t>
      </w:r>
      <w:r>
        <w:rPr>
          <w:rFonts w:hint="eastAsia" w:ascii="方正楷体_GBK" w:hAnsi="方正楷体_GBK" w:eastAsia="方正楷体_GBK" w:cs="方正楷体_GBK"/>
          <w:color w:val="000000"/>
          <w:kern w:val="0"/>
          <w:sz w:val="24"/>
          <w:szCs w:val="24"/>
          <w:highlight w:val="cyan"/>
        </w:rPr>
        <w:t>；</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（七）个人因依法继承或家庭财产分割</w:t>
      </w:r>
      <w:r>
        <w:rPr>
          <w:rFonts w:hint="eastAsia" w:ascii="方正楷体_GBK" w:hAnsi="方正楷体_GBK" w:eastAsia="方正楷体_GBK" w:cs="方正楷体_GBK"/>
          <w:b/>
          <w:bCs/>
          <w:color w:val="000000"/>
          <w:kern w:val="0"/>
          <w:sz w:val="24"/>
          <w:szCs w:val="24"/>
          <w:highlight w:val="cyan"/>
        </w:rPr>
        <w:t>让渡</w:t>
      </w:r>
      <w:r>
        <w:rPr>
          <w:rFonts w:hint="eastAsia" w:ascii="方正楷体_GBK" w:hAnsi="方正楷体_GBK" w:eastAsia="方正楷体_GBK" w:cs="方正楷体_GBK"/>
          <w:color w:val="000000"/>
          <w:kern w:val="0"/>
          <w:sz w:val="24"/>
          <w:szCs w:val="24"/>
          <w:highlight w:val="cyan"/>
        </w:rPr>
        <w:t>限售股所有权；</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（八）个人用限售股</w:t>
      </w:r>
      <w:r>
        <w:rPr>
          <w:rFonts w:hint="eastAsia" w:ascii="方正楷体_GBK" w:hAnsi="方正楷体_GBK" w:eastAsia="方正楷体_GBK" w:cs="方正楷体_GBK"/>
          <w:b/>
          <w:bCs/>
          <w:color w:val="000000"/>
          <w:kern w:val="0"/>
          <w:sz w:val="24"/>
          <w:szCs w:val="24"/>
          <w:highlight w:val="cyan"/>
        </w:rPr>
        <w:t>偿还</w:t>
      </w:r>
      <w:r>
        <w:rPr>
          <w:rFonts w:hint="eastAsia" w:ascii="方正楷体_GBK" w:hAnsi="方正楷体_GBK" w:eastAsia="方正楷体_GBK" w:cs="方正楷体_GBK"/>
          <w:color w:val="000000"/>
          <w:kern w:val="0"/>
          <w:sz w:val="24"/>
          <w:szCs w:val="24"/>
          <w:highlight w:val="cyan"/>
        </w:rPr>
        <w:t>上市公司股权分置改革中由大股东代其向流通股股东支付的对价；</w:t>
      </w:r>
      <w:r>
        <w:rPr>
          <w:rFonts w:hint="eastAsia" w:ascii="方正楷体_GBK" w:hAnsi="方正楷体_GBK" w:eastAsia="方正楷体_GBK" w:cs="方正楷体_GBK"/>
          <w:color w:val="000000"/>
          <w:kern w:val="0"/>
          <w:sz w:val="24"/>
          <w:szCs w:val="24"/>
          <w:highlight w:val="cyan"/>
        </w:rPr>
        <w:br w:type="textWrapping"/>
      </w:r>
      <w:r>
        <w:rPr>
          <w:rFonts w:hint="eastAsia" w:ascii="方正楷体_GBK" w:hAnsi="方正楷体_GBK" w:eastAsia="方正楷体_GBK" w:cs="方正楷体_GBK"/>
          <w:color w:val="000000"/>
          <w:kern w:val="0"/>
          <w:sz w:val="24"/>
          <w:szCs w:val="24"/>
          <w:highlight w:val="cyan"/>
        </w:rPr>
        <w:t>　　（九）其他具有转让实质的情形。</w:t>
      </w:r>
    </w:p>
    <w:p>
      <w:pPr>
        <w:widowControl/>
        <w:spacing w:line="540" w:lineRule="atLeast"/>
        <w:jc w:val="left"/>
        <w:rPr>
          <w:rFonts w:hint="eastAsia" w:ascii="宋体" w:hAnsi="宋体" w:eastAsia="宋体" w:cs="宋体"/>
          <w:color w:val="000000"/>
          <w:kern w:val="0"/>
          <w:sz w:val="24"/>
          <w:szCs w:val="24"/>
        </w:rPr>
      </w:pPr>
      <w:r>
        <w:rPr>
          <w:rFonts w:hint="eastAsia" w:ascii="方正楷体_GBK" w:hAnsi="方正楷体_GBK" w:eastAsia="方正楷体_GBK" w:cs="方正楷体_GBK"/>
          <w:color w:val="000000"/>
          <w:kern w:val="0"/>
          <w:sz w:val="24"/>
          <w:szCs w:val="24"/>
        </w:rPr>
        <w:br w:type="textWrapping"/>
      </w:r>
      <w:r>
        <w:rPr>
          <w:rFonts w:hint="eastAsia" w:ascii="宋体" w:hAnsi="宋体" w:eastAsia="宋体" w:cs="宋体"/>
          <w:color w:val="000000"/>
          <w:kern w:val="0"/>
          <w:sz w:val="24"/>
          <w:szCs w:val="24"/>
        </w:rPr>
        <w:t>　　</w:t>
      </w:r>
      <w:r>
        <w:rPr>
          <w:rFonts w:hint="eastAsia" w:ascii="黑体" w:hAnsi="黑体" w:eastAsia="黑体" w:cs="黑体"/>
          <w:color w:val="000000"/>
          <w:kern w:val="0"/>
          <w:sz w:val="24"/>
          <w:szCs w:val="24"/>
        </w:rPr>
        <w:t>三、应纳税所得额的计算</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一）个人转让第一条规定的限售股，限售股所对应的公司在证券机构技术和制度准备完成前上市的，应纳税所得额的计算按照财税[2009]167号文件第五条第（一）项规定执行；在证券机构技术和制度准备完成后上市的，应纳税所得额的计算按照财税[2009]167号文件第五条第（二）项规定执行。</w:t>
      </w:r>
    </w:p>
    <w:p>
      <w:pPr>
        <w:widowControl/>
        <w:spacing w:line="540" w:lineRule="atLeast"/>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（二）个人发生第二条第</w:t>
      </w:r>
      <w:r>
        <w:rPr>
          <w:rFonts w:hint="eastAsia" w:ascii="方正楷体_GBK" w:hAnsi="方正楷体_GBK" w:eastAsia="方正楷体_GBK" w:cs="方正楷体_GBK"/>
          <w:b/>
          <w:bCs/>
          <w:color w:val="000000"/>
          <w:kern w:val="0"/>
          <w:sz w:val="24"/>
          <w:szCs w:val="24"/>
        </w:rPr>
        <w:t>（一）、（二）、（三）、（四）</w:t>
      </w:r>
      <w:r>
        <w:rPr>
          <w:rFonts w:hint="eastAsia" w:ascii="宋体" w:hAnsi="宋体" w:eastAsia="宋体" w:cs="宋体"/>
          <w:color w:val="000000"/>
          <w:kern w:val="0"/>
          <w:sz w:val="24"/>
          <w:szCs w:val="24"/>
        </w:rPr>
        <w:t>项情形、由证券机构扣缴税款的，扣缴税款的计算按照财税[2009]167号文件规定执行。</w:t>
      </w:r>
      <w:r>
        <w:rPr>
          <w:rFonts w:hint="eastAsia" w:ascii="方正楷体_GBK" w:hAnsi="方正楷体_GBK" w:eastAsia="方正楷体_GBK" w:cs="方正楷体_GBK"/>
          <w:b/>
          <w:bCs/>
          <w:color w:val="000000"/>
          <w:kern w:val="0"/>
          <w:sz w:val="24"/>
          <w:szCs w:val="24"/>
        </w:rPr>
        <w:t>纳税人申报清算时，实际转让收入按照下列原则计算：</w:t>
      </w:r>
      <w:r>
        <w:rPr>
          <w:rFonts w:hint="eastAsia" w:ascii="方正楷体_GBK" w:hAnsi="方正楷体_GBK" w:eastAsia="方正楷体_GBK" w:cs="方正楷体_GBK"/>
          <w:b/>
          <w:bCs/>
          <w:color w:val="000000"/>
          <w:kern w:val="0"/>
          <w:sz w:val="24"/>
          <w:szCs w:val="24"/>
        </w:rPr>
        <w:br w:type="textWrapping"/>
      </w:r>
      <w:r>
        <w:rPr>
          <w:rFonts w:hint="eastAsia" w:ascii="宋体" w:hAnsi="宋体" w:eastAsia="宋体" w:cs="宋体"/>
          <w:color w:val="000000"/>
          <w:kern w:val="0"/>
          <w:sz w:val="24"/>
          <w:szCs w:val="24"/>
        </w:rPr>
        <w:t>　　</w:t>
      </w:r>
      <w:r>
        <w:rPr>
          <w:rFonts w:hint="eastAsia" w:ascii="方正行楷_GBK" w:hAnsi="方正行楷_GBK" w:eastAsia="方正行楷_GBK" w:cs="方正行楷_GBK"/>
          <w:color w:val="000000"/>
          <w:kern w:val="0"/>
          <w:sz w:val="24"/>
          <w:szCs w:val="24"/>
        </w:rPr>
        <w:t>第二条第（一）项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w:t>
      </w:r>
      <w:r>
        <w:rPr>
          <w:rFonts w:hint="eastAsia" w:ascii="方正隶书_GBK" w:hAnsi="方正隶书_GBK" w:eastAsia="方正隶书_GBK" w:cs="方正隶书_GBK"/>
          <w:b/>
          <w:bCs/>
          <w:color w:val="000000"/>
          <w:kern w:val="0"/>
          <w:sz w:val="24"/>
          <w:szCs w:val="24"/>
          <w:shd w:val="clear" w:color="FFFFFF" w:fill="D9D9D9"/>
        </w:rPr>
        <w:t>通过证券交易所集中交易系统或大宗交易系统</w:t>
      </w:r>
      <w:r>
        <w:rPr>
          <w:rFonts w:hint="eastAsia" w:ascii="方正隶书_GBK" w:hAnsi="方正隶书_GBK" w:eastAsia="方正隶书_GBK" w:cs="方正隶书_GBK"/>
          <w:color w:val="000000"/>
          <w:kern w:val="0"/>
          <w:sz w:val="24"/>
          <w:szCs w:val="24"/>
          <w:shd w:val="clear" w:color="FFFFFF" w:fill="D9D9D9"/>
        </w:rPr>
        <w:t>转让限售股</w:t>
      </w:r>
      <w:r>
        <w:rPr>
          <w:rFonts w:hint="default" w:ascii="方正楷体_GBK" w:hAnsi="方正楷体_GBK" w:eastAsia="方正楷体_GBK" w:cs="方正楷体_GBK"/>
          <w:color w:val="000000"/>
          <w:kern w:val="0"/>
          <w:sz w:val="24"/>
          <w:szCs w:val="24"/>
          <w:lang w:val="en"/>
        </w:rPr>
        <w:t>]</w:t>
      </w:r>
      <w:r>
        <w:rPr>
          <w:rFonts w:hint="eastAsia" w:ascii="方正行楷_GBK" w:hAnsi="方正行楷_GBK" w:eastAsia="方正行楷_GBK" w:cs="方正行楷_GBK"/>
          <w:color w:val="000000"/>
          <w:kern w:val="0"/>
          <w:sz w:val="24"/>
          <w:szCs w:val="24"/>
        </w:rPr>
        <w:t>的转让收入</w:t>
      </w:r>
      <w:r>
        <w:rPr>
          <w:rFonts w:hint="eastAsia" w:ascii="宋体" w:hAnsi="宋体" w:eastAsia="宋体" w:cs="宋体"/>
          <w:color w:val="000000"/>
          <w:kern w:val="0"/>
          <w:sz w:val="24"/>
          <w:szCs w:val="24"/>
        </w:rPr>
        <w:t>以</w:t>
      </w:r>
      <w:r>
        <w:rPr>
          <w:rFonts w:hint="eastAsia" w:ascii="方正楷体_GBK" w:hAnsi="方正楷体_GBK" w:eastAsia="方正楷体_GBK" w:cs="方正楷体_GBK"/>
          <w:color w:val="FF0000"/>
          <w:kern w:val="0"/>
          <w:sz w:val="24"/>
          <w:szCs w:val="24"/>
        </w:rPr>
        <w:t>转让当日该股份实际转让价格</w:t>
      </w:r>
      <w:r>
        <w:rPr>
          <w:rFonts w:hint="eastAsia" w:ascii="宋体" w:hAnsi="宋体" w:eastAsia="宋体" w:cs="宋体"/>
          <w:color w:val="000000"/>
          <w:kern w:val="0"/>
          <w:sz w:val="24"/>
          <w:szCs w:val="24"/>
        </w:rPr>
        <w:t>计算，证券公司在扣缴税款时，佣金支出统一按照证券主管部门规定的行业最高佣金费率计算；</w:t>
      </w:r>
    </w:p>
    <w:p>
      <w:pPr>
        <w:widowControl/>
        <w:spacing w:line="540" w:lineRule="atLeast"/>
        <w:ind w:firstLine="480" w:firstLineChars="200"/>
        <w:jc w:val="left"/>
        <w:rPr>
          <w:rFonts w:hint="eastAsia" w:ascii="宋体" w:hAnsi="宋体" w:eastAsia="宋体" w:cs="宋体"/>
          <w:color w:val="000000"/>
          <w:kern w:val="0"/>
          <w:sz w:val="24"/>
          <w:szCs w:val="24"/>
        </w:rPr>
      </w:pPr>
      <w:r>
        <w:rPr>
          <w:rFonts w:hint="eastAsia" w:ascii="方正行楷_GBK" w:hAnsi="方正行楷_GBK" w:eastAsia="方正行楷_GBK" w:cs="方正行楷_GBK"/>
          <w:color w:val="000000"/>
          <w:kern w:val="0"/>
          <w:sz w:val="24"/>
          <w:szCs w:val="24"/>
        </w:rPr>
        <w:t>第二条第（二）项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个人用限售股</w:t>
      </w:r>
      <w:r>
        <w:rPr>
          <w:rFonts w:hint="eastAsia" w:ascii="方正隶书_GBK" w:hAnsi="方正隶书_GBK" w:eastAsia="方正隶书_GBK" w:cs="方正隶书_GBK"/>
          <w:b/>
          <w:bCs/>
          <w:color w:val="000000"/>
          <w:kern w:val="0"/>
          <w:sz w:val="24"/>
          <w:szCs w:val="24"/>
          <w:shd w:val="clear" w:color="FFFFFF" w:fill="D9D9D9"/>
        </w:rPr>
        <w:t>认购或申购</w:t>
      </w:r>
      <w:r>
        <w:rPr>
          <w:rFonts w:hint="eastAsia" w:ascii="方正隶书_GBK" w:hAnsi="方正隶书_GBK" w:eastAsia="方正隶书_GBK" w:cs="方正隶书_GBK"/>
          <w:color w:val="000000"/>
          <w:kern w:val="0"/>
          <w:sz w:val="24"/>
          <w:szCs w:val="24"/>
          <w:shd w:val="clear" w:color="FFFFFF" w:fill="D9D9D9"/>
        </w:rPr>
        <w:t>交易型开放式指数基金（ETF）份额</w:t>
      </w:r>
      <w:r>
        <w:rPr>
          <w:rFonts w:hint="default" w:ascii="方正楷体_GBK" w:hAnsi="方正楷体_GBK" w:eastAsia="方正楷体_GBK" w:cs="方正楷体_GBK"/>
          <w:color w:val="000000"/>
          <w:kern w:val="0"/>
          <w:sz w:val="24"/>
          <w:szCs w:val="24"/>
          <w:lang w:val="en"/>
        </w:rPr>
        <w:t>]</w:t>
      </w:r>
      <w:r>
        <w:rPr>
          <w:rFonts w:hint="eastAsia" w:ascii="方正行楷_GBK" w:hAnsi="方正行楷_GBK" w:eastAsia="方正行楷_GBK" w:cs="方正行楷_GBK"/>
          <w:color w:val="000000"/>
          <w:kern w:val="0"/>
          <w:sz w:val="24"/>
          <w:szCs w:val="24"/>
        </w:rPr>
        <w:t>的转让收入</w:t>
      </w:r>
      <w:r>
        <w:rPr>
          <w:rFonts w:hint="eastAsia" w:ascii="宋体" w:hAnsi="宋体" w:eastAsia="宋体" w:cs="宋体"/>
          <w:color w:val="000000"/>
          <w:kern w:val="0"/>
          <w:sz w:val="24"/>
          <w:szCs w:val="24"/>
        </w:rPr>
        <w:t>，通过</w:t>
      </w:r>
      <w:r>
        <w:rPr>
          <w:rFonts w:hint="eastAsia" w:ascii="方正楷体_GBK" w:hAnsi="方正楷体_GBK" w:eastAsia="方正楷体_GBK" w:cs="方正楷体_GBK"/>
          <w:color w:val="000000"/>
          <w:kern w:val="0"/>
          <w:sz w:val="24"/>
          <w:szCs w:val="24"/>
        </w:rPr>
        <w:t>认购</w:t>
      </w:r>
      <w:r>
        <w:rPr>
          <w:rFonts w:hint="eastAsia" w:ascii="宋体" w:hAnsi="宋体" w:eastAsia="宋体" w:cs="宋体"/>
          <w:color w:val="000000"/>
          <w:kern w:val="0"/>
          <w:sz w:val="24"/>
          <w:szCs w:val="24"/>
        </w:rPr>
        <w:t>ETF份额方式转让限售股的，以</w:t>
      </w:r>
      <w:r>
        <w:rPr>
          <w:rFonts w:hint="eastAsia" w:ascii="方正楷体_GBK" w:hAnsi="方正楷体_GBK" w:eastAsia="方正楷体_GBK" w:cs="方正楷体_GBK"/>
          <w:color w:val="000000"/>
          <w:kern w:val="0"/>
          <w:sz w:val="24"/>
          <w:szCs w:val="24"/>
        </w:rPr>
        <w:t>股份过户日</w:t>
      </w:r>
      <w:r>
        <w:rPr>
          <w:rFonts w:hint="eastAsia" w:ascii="宋体" w:hAnsi="宋体" w:eastAsia="宋体" w:cs="宋体"/>
          <w:color w:val="000000"/>
          <w:kern w:val="0"/>
          <w:sz w:val="24"/>
          <w:szCs w:val="24"/>
        </w:rPr>
        <w:t>的前一交易日该股份</w:t>
      </w:r>
      <w:r>
        <w:rPr>
          <w:rFonts w:hint="eastAsia" w:ascii="方正楷体_GBK" w:hAnsi="方正楷体_GBK" w:eastAsia="方正楷体_GBK" w:cs="方正楷体_GBK"/>
          <w:color w:val="FF0000"/>
          <w:kern w:val="0"/>
          <w:sz w:val="24"/>
          <w:szCs w:val="24"/>
        </w:rPr>
        <w:t>收盘价</w:t>
      </w:r>
      <w:r>
        <w:rPr>
          <w:rFonts w:hint="eastAsia" w:ascii="宋体" w:hAnsi="宋体" w:eastAsia="宋体" w:cs="宋体"/>
          <w:color w:val="000000"/>
          <w:kern w:val="0"/>
          <w:sz w:val="24"/>
          <w:szCs w:val="24"/>
        </w:rPr>
        <w:t>计算，通过申购ETF份额方式转让限售股的，以申购日的前一交易日该股份收盘价计算；</w:t>
      </w:r>
    </w:p>
    <w:p>
      <w:pPr>
        <w:widowControl/>
        <w:spacing w:line="540" w:lineRule="atLeast"/>
        <w:ind w:firstLine="480" w:firstLineChars="200"/>
        <w:jc w:val="left"/>
        <w:rPr>
          <w:rFonts w:hint="eastAsia" w:ascii="宋体" w:hAnsi="宋体" w:eastAsia="宋体" w:cs="宋体"/>
          <w:color w:val="000000"/>
          <w:kern w:val="0"/>
          <w:sz w:val="24"/>
          <w:szCs w:val="24"/>
        </w:rPr>
      </w:pPr>
      <w:r>
        <w:rPr>
          <w:rFonts w:hint="eastAsia" w:ascii="方正行楷_GBK" w:hAnsi="方正行楷_GBK" w:eastAsia="方正行楷_GBK" w:cs="方正行楷_GBK"/>
          <w:color w:val="000000"/>
          <w:kern w:val="0"/>
          <w:sz w:val="24"/>
          <w:szCs w:val="24"/>
        </w:rPr>
        <w:t>第二条第（三）项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个人用限售股</w:t>
      </w:r>
      <w:r>
        <w:rPr>
          <w:rFonts w:hint="eastAsia" w:ascii="方正隶书_GBK" w:hAnsi="方正隶书_GBK" w:eastAsia="方正隶书_GBK" w:cs="方正隶书_GBK"/>
          <w:b/>
          <w:bCs/>
          <w:color w:val="000000"/>
          <w:kern w:val="0"/>
          <w:sz w:val="24"/>
          <w:szCs w:val="24"/>
          <w:shd w:val="clear" w:color="FFFFFF" w:fill="D9D9D9"/>
        </w:rPr>
        <w:t>接受要约收购</w:t>
      </w:r>
      <w:r>
        <w:rPr>
          <w:rFonts w:hint="default" w:ascii="方正楷体_GBK" w:hAnsi="方正楷体_GBK" w:eastAsia="方正楷体_GBK" w:cs="方正楷体_GBK"/>
          <w:b/>
          <w:bCs/>
          <w:color w:val="000000"/>
          <w:kern w:val="0"/>
          <w:sz w:val="24"/>
          <w:szCs w:val="24"/>
          <w:lang w:val="en"/>
        </w:rPr>
        <w:t>]</w:t>
      </w:r>
      <w:r>
        <w:rPr>
          <w:rFonts w:hint="eastAsia" w:ascii="方正行楷_GBK" w:hAnsi="方正行楷_GBK" w:eastAsia="方正行楷_GBK" w:cs="方正行楷_GBK"/>
          <w:color w:val="000000"/>
          <w:kern w:val="0"/>
          <w:sz w:val="24"/>
          <w:szCs w:val="24"/>
        </w:rPr>
        <w:t>的转让收入</w:t>
      </w:r>
      <w:r>
        <w:rPr>
          <w:rFonts w:hint="eastAsia" w:ascii="宋体" w:hAnsi="宋体" w:eastAsia="宋体" w:cs="宋体"/>
          <w:color w:val="000000"/>
          <w:kern w:val="0"/>
          <w:sz w:val="24"/>
          <w:szCs w:val="24"/>
        </w:rPr>
        <w:t>以</w:t>
      </w:r>
      <w:r>
        <w:rPr>
          <w:rFonts w:hint="eastAsia" w:ascii="方正楷体_GBK" w:hAnsi="方正楷体_GBK" w:eastAsia="方正楷体_GBK" w:cs="方正楷体_GBK"/>
          <w:color w:val="FF0000"/>
          <w:kern w:val="0"/>
          <w:sz w:val="24"/>
          <w:szCs w:val="24"/>
        </w:rPr>
        <w:t>要约收购的价格</w:t>
      </w:r>
      <w:r>
        <w:rPr>
          <w:rFonts w:hint="eastAsia" w:ascii="宋体" w:hAnsi="宋体" w:eastAsia="宋体" w:cs="宋体"/>
          <w:color w:val="000000"/>
          <w:kern w:val="0"/>
          <w:sz w:val="24"/>
          <w:szCs w:val="24"/>
        </w:rPr>
        <w:t>计算；</w:t>
      </w:r>
    </w:p>
    <w:p>
      <w:pPr>
        <w:widowControl/>
        <w:spacing w:line="540" w:lineRule="atLeast"/>
        <w:ind w:firstLine="480" w:firstLineChars="200"/>
        <w:jc w:val="left"/>
        <w:rPr>
          <w:rFonts w:hint="eastAsia" w:ascii="宋体" w:hAnsi="宋体" w:eastAsia="宋体" w:cs="宋体"/>
          <w:color w:val="000000"/>
          <w:kern w:val="0"/>
          <w:sz w:val="24"/>
          <w:szCs w:val="24"/>
        </w:rPr>
      </w:pPr>
      <w:r>
        <w:rPr>
          <w:rFonts w:hint="eastAsia" w:ascii="方正行楷_GBK" w:hAnsi="方正行楷_GBK" w:eastAsia="方正行楷_GBK" w:cs="方正行楷_GBK"/>
          <w:color w:val="000000"/>
          <w:kern w:val="0"/>
          <w:sz w:val="24"/>
          <w:szCs w:val="24"/>
        </w:rPr>
        <w:t>第二条第（四）项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w:t>
      </w:r>
      <w:r>
        <w:rPr>
          <w:rFonts w:hint="eastAsia" w:ascii="方正隶书_GBK" w:hAnsi="方正隶书_GBK" w:eastAsia="方正隶书_GBK" w:cs="方正隶书_GBK"/>
          <w:b/>
          <w:bCs/>
          <w:color w:val="000000"/>
          <w:kern w:val="0"/>
          <w:sz w:val="24"/>
          <w:szCs w:val="24"/>
          <w:shd w:val="clear" w:color="FFFFFF" w:fill="D9D9D9"/>
        </w:rPr>
        <w:t>行使现金选择权</w:t>
      </w:r>
      <w:r>
        <w:rPr>
          <w:rFonts w:hint="eastAsia" w:ascii="方正隶书_GBK" w:hAnsi="方正隶书_GBK" w:eastAsia="方正隶书_GBK" w:cs="方正隶书_GBK"/>
          <w:color w:val="000000"/>
          <w:kern w:val="0"/>
          <w:sz w:val="24"/>
          <w:szCs w:val="24"/>
          <w:shd w:val="clear" w:color="FFFFFF" w:fill="D9D9D9"/>
        </w:rPr>
        <w:t>将限售股转让给提供现金选择权的第三方</w:t>
      </w:r>
      <w:r>
        <w:rPr>
          <w:rFonts w:hint="default" w:ascii="方正楷体_GBK" w:hAnsi="方正楷体_GBK" w:eastAsia="方正楷体_GBK" w:cs="方正楷体_GBK"/>
          <w:color w:val="000000"/>
          <w:kern w:val="0"/>
          <w:sz w:val="24"/>
          <w:szCs w:val="24"/>
          <w:lang w:val="en"/>
        </w:rPr>
        <w:t>]</w:t>
      </w:r>
      <w:r>
        <w:rPr>
          <w:rFonts w:hint="eastAsia" w:ascii="方正行楷_GBK" w:hAnsi="方正行楷_GBK" w:eastAsia="方正行楷_GBK" w:cs="方正行楷_GBK"/>
          <w:color w:val="000000"/>
          <w:kern w:val="0"/>
          <w:sz w:val="24"/>
          <w:szCs w:val="24"/>
        </w:rPr>
        <w:t>的转让收入</w:t>
      </w:r>
      <w:r>
        <w:rPr>
          <w:rFonts w:hint="eastAsia" w:ascii="宋体" w:hAnsi="宋体" w:eastAsia="宋体" w:cs="宋体"/>
          <w:color w:val="000000"/>
          <w:kern w:val="0"/>
          <w:sz w:val="24"/>
          <w:szCs w:val="24"/>
        </w:rPr>
        <w:t>以</w:t>
      </w:r>
      <w:r>
        <w:rPr>
          <w:rFonts w:hint="eastAsia" w:ascii="方正楷体_GBK" w:hAnsi="方正楷体_GBK" w:eastAsia="方正楷体_GBK" w:cs="方正楷体_GBK"/>
          <w:color w:val="FF0000"/>
          <w:kern w:val="0"/>
          <w:sz w:val="24"/>
          <w:szCs w:val="24"/>
        </w:rPr>
        <w:t>实际行权价格</w:t>
      </w:r>
      <w:r>
        <w:rPr>
          <w:rFonts w:hint="eastAsia" w:ascii="宋体" w:hAnsi="宋体" w:eastAsia="宋体" w:cs="宋体"/>
          <w:color w:val="000000"/>
          <w:kern w:val="0"/>
          <w:sz w:val="24"/>
          <w:szCs w:val="24"/>
        </w:rPr>
        <w:t>计算。</w:t>
      </w:r>
    </w:p>
    <w:p>
      <w:pPr>
        <w:widowControl/>
        <w:spacing w:line="540" w:lineRule="atLeast"/>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（三）个人发生第二条第（五）、（六）、（七）、（八）项情形、需向主管税务机关申报纳税的，转让收入按照下列原则计算：</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方正行楷_GBK" w:hAnsi="方正行楷_GBK" w:eastAsia="方正行楷_GBK" w:cs="方正行楷_GBK"/>
          <w:color w:val="000000"/>
          <w:kern w:val="0"/>
          <w:sz w:val="24"/>
          <w:szCs w:val="24"/>
        </w:rPr>
        <w:t>第二条第（五）项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w:t>
      </w:r>
      <w:r>
        <w:rPr>
          <w:rFonts w:hint="eastAsia" w:ascii="方正隶书_GBK" w:hAnsi="方正隶书_GBK" w:eastAsia="方正隶书_GBK" w:cs="方正隶书_GBK"/>
          <w:b/>
          <w:bCs/>
          <w:color w:val="000000"/>
          <w:kern w:val="0"/>
          <w:sz w:val="24"/>
          <w:szCs w:val="24"/>
          <w:shd w:val="clear" w:color="FFFFFF" w:fill="D9D9D9"/>
        </w:rPr>
        <w:t>协议转让</w:t>
      </w:r>
      <w:r>
        <w:rPr>
          <w:rFonts w:hint="eastAsia" w:ascii="方正隶书_GBK" w:hAnsi="方正隶书_GBK" w:eastAsia="方正隶书_GBK" w:cs="方正隶书_GBK"/>
          <w:b/>
          <w:bCs/>
          <w:color w:val="000000"/>
          <w:kern w:val="0"/>
          <w:sz w:val="24"/>
          <w:szCs w:val="24"/>
          <w:shd w:val="clear" w:color="FFFFFF" w:fill="D9D9D9"/>
          <w:lang w:val="en"/>
        </w:rPr>
        <w:t>]</w:t>
      </w:r>
      <w:r>
        <w:rPr>
          <w:rFonts w:hint="eastAsia" w:ascii="方正隶书_GBK" w:hAnsi="方正隶书_GBK" w:eastAsia="方正隶书_GBK" w:cs="方正隶书_GBK"/>
          <w:color w:val="000000"/>
          <w:kern w:val="0"/>
          <w:sz w:val="24"/>
          <w:szCs w:val="24"/>
          <w:shd w:val="clear" w:color="FFFFFF" w:fill="D9D9D9"/>
        </w:rPr>
        <w:t>限售股</w:t>
      </w:r>
      <w:r>
        <w:rPr>
          <w:rFonts w:hint="default" w:ascii="方正楷体_GBK" w:hAnsi="方正楷体_GBK" w:eastAsia="方正楷体_GBK" w:cs="方正楷体_GBK"/>
          <w:color w:val="000000"/>
          <w:kern w:val="0"/>
          <w:sz w:val="24"/>
          <w:szCs w:val="24"/>
          <w:shd w:val="clear" w:color="FFFFFF" w:fill="D9D9D9"/>
          <w:lang w:val="en"/>
        </w:rPr>
        <w:t>]</w:t>
      </w:r>
      <w:r>
        <w:rPr>
          <w:rFonts w:hint="eastAsia" w:ascii="宋体" w:hAnsi="宋体" w:eastAsia="宋体" w:cs="宋体"/>
          <w:color w:val="000000"/>
          <w:kern w:val="0"/>
          <w:sz w:val="24"/>
          <w:szCs w:val="24"/>
        </w:rPr>
        <w:t>的转让收入按照</w:t>
      </w:r>
      <w:r>
        <w:rPr>
          <w:rFonts w:hint="eastAsia" w:ascii="方正楷体_GBK" w:hAnsi="方正楷体_GBK" w:eastAsia="方正楷体_GBK" w:cs="方正楷体_GBK"/>
          <w:color w:val="FF0000"/>
          <w:kern w:val="0"/>
          <w:sz w:val="24"/>
          <w:szCs w:val="24"/>
        </w:rPr>
        <w:t>实际转让收入</w:t>
      </w:r>
      <w:r>
        <w:rPr>
          <w:rFonts w:hint="eastAsia" w:ascii="宋体" w:hAnsi="宋体" w:eastAsia="宋体" w:cs="宋体"/>
          <w:color w:val="000000"/>
          <w:kern w:val="0"/>
          <w:sz w:val="24"/>
          <w:szCs w:val="24"/>
        </w:rPr>
        <w:t>计算，转让价格明显偏低且无正当理由的，主管税务机关可以依据协议签订日的前一交易日该股收盘价或其它合理方式核定其转让收入；</w:t>
      </w:r>
    </w:p>
    <w:p>
      <w:pPr>
        <w:widowControl/>
        <w:spacing w:line="540" w:lineRule="atLeast"/>
        <w:ind w:firstLine="480" w:firstLineChars="200"/>
        <w:jc w:val="left"/>
        <w:rPr>
          <w:rFonts w:hint="eastAsia" w:ascii="宋体" w:hAnsi="宋体" w:eastAsia="宋体" w:cs="宋体"/>
          <w:color w:val="000000"/>
          <w:kern w:val="0"/>
          <w:sz w:val="24"/>
          <w:szCs w:val="24"/>
        </w:rPr>
      </w:pPr>
      <w:r>
        <w:rPr>
          <w:rFonts w:hint="eastAsia" w:ascii="方正行楷_GBK" w:hAnsi="方正行楷_GBK" w:eastAsia="方正行楷_GBK" w:cs="方正行楷_GBK"/>
          <w:color w:val="000000"/>
          <w:kern w:val="0"/>
          <w:sz w:val="24"/>
          <w:szCs w:val="24"/>
        </w:rPr>
        <w:t>第二条第（六）项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个人持有的限售股</w:t>
      </w:r>
      <w:r>
        <w:rPr>
          <w:rFonts w:hint="eastAsia" w:ascii="方正隶书_GBK" w:hAnsi="方正隶书_GBK" w:eastAsia="方正隶书_GBK" w:cs="方正隶书_GBK"/>
          <w:b/>
          <w:bCs/>
          <w:color w:val="000000"/>
          <w:kern w:val="0"/>
          <w:sz w:val="24"/>
          <w:szCs w:val="24"/>
          <w:shd w:val="clear" w:color="FFFFFF" w:fill="D9D9D9"/>
        </w:rPr>
        <w:t>被司法扣划</w:t>
      </w:r>
      <w:r>
        <w:rPr>
          <w:rFonts w:hint="default" w:ascii="方正楷体_GBK" w:hAnsi="方正楷体_GBK" w:eastAsia="方正楷体_GBK" w:cs="方正楷体_GBK"/>
          <w:b/>
          <w:bCs/>
          <w:color w:val="000000"/>
          <w:kern w:val="0"/>
          <w:sz w:val="24"/>
          <w:szCs w:val="24"/>
          <w:lang w:val="en"/>
        </w:rPr>
        <w:t>]</w:t>
      </w:r>
      <w:r>
        <w:rPr>
          <w:rFonts w:hint="eastAsia" w:ascii="宋体" w:hAnsi="宋体" w:eastAsia="宋体" w:cs="宋体"/>
          <w:color w:val="000000"/>
          <w:kern w:val="0"/>
          <w:sz w:val="24"/>
          <w:szCs w:val="24"/>
        </w:rPr>
        <w:t>的转让收入以</w:t>
      </w:r>
      <w:r>
        <w:rPr>
          <w:rFonts w:hint="eastAsia" w:ascii="方正楷体_GBK" w:hAnsi="方正楷体_GBK" w:eastAsia="方正楷体_GBK" w:cs="方正楷体_GBK"/>
          <w:color w:val="FF0000"/>
          <w:kern w:val="0"/>
          <w:sz w:val="24"/>
          <w:szCs w:val="24"/>
        </w:rPr>
        <w:t>司法执行日的前一交易日该股收盘价</w:t>
      </w:r>
      <w:r>
        <w:rPr>
          <w:rFonts w:hint="eastAsia" w:ascii="宋体" w:hAnsi="宋体" w:eastAsia="宋体" w:cs="宋体"/>
          <w:color w:val="000000"/>
          <w:kern w:val="0"/>
          <w:sz w:val="24"/>
          <w:szCs w:val="24"/>
        </w:rPr>
        <w:t>计算；</w:t>
      </w:r>
    </w:p>
    <w:p>
      <w:pPr>
        <w:widowControl/>
        <w:spacing w:line="540" w:lineRule="atLeast"/>
        <w:ind w:firstLine="480" w:firstLineChars="200"/>
        <w:jc w:val="left"/>
        <w:rPr>
          <w:rFonts w:hint="eastAsia" w:ascii="宋体" w:hAnsi="宋体" w:eastAsia="宋体" w:cs="宋体"/>
          <w:color w:val="000000"/>
          <w:kern w:val="0"/>
          <w:sz w:val="24"/>
          <w:szCs w:val="24"/>
        </w:rPr>
      </w:pPr>
      <w:r>
        <w:rPr>
          <w:rFonts w:hint="eastAsia" w:ascii="方正行楷_GBK" w:hAnsi="方正行楷_GBK" w:eastAsia="方正行楷_GBK" w:cs="方正行楷_GBK"/>
          <w:color w:val="000000"/>
          <w:kern w:val="0"/>
          <w:sz w:val="24"/>
          <w:szCs w:val="24"/>
        </w:rPr>
        <w:t>第二条第（七）</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b w:val="0"/>
          <w:bCs w:val="0"/>
          <w:color w:val="000000"/>
          <w:kern w:val="0"/>
          <w:sz w:val="24"/>
          <w:szCs w:val="24"/>
          <w:shd w:val="clear" w:color="FFFFFF" w:fill="D9D9D9"/>
        </w:rPr>
        <w:t>个人因依法继承或家庭财产分割让渡限售股所有权</w:t>
      </w:r>
      <w:r>
        <w:rPr>
          <w:rFonts w:hint="default" w:ascii="方正楷体_GBK" w:hAnsi="方正楷体_GBK" w:eastAsia="方正楷体_GBK" w:cs="方正楷体_GBK"/>
          <w:color w:val="000000"/>
          <w:kern w:val="0"/>
          <w:sz w:val="24"/>
          <w:szCs w:val="24"/>
          <w:lang w:val="en"/>
        </w:rPr>
        <w:t>]</w:t>
      </w:r>
      <w:r>
        <w:rPr>
          <w:rFonts w:hint="eastAsia" w:ascii="方正行楷_GBK" w:hAnsi="方正行楷_GBK" w:eastAsia="方正行楷_GBK" w:cs="方正行楷_GBK"/>
          <w:color w:val="000000"/>
          <w:kern w:val="0"/>
          <w:sz w:val="24"/>
          <w:szCs w:val="24"/>
        </w:rPr>
        <w:t>、（八）项</w:t>
      </w:r>
      <w:r>
        <w:rPr>
          <w:rFonts w:hint="default" w:ascii="方正行楷_GBK" w:hAnsi="方正行楷_GBK" w:eastAsia="方正行楷_GBK" w:cs="方正行楷_GBK"/>
          <w:color w:val="000000"/>
          <w:kern w:val="0"/>
          <w:sz w:val="24"/>
          <w:szCs w:val="24"/>
          <w:lang w:val="en"/>
        </w:rPr>
        <w:t>[</w:t>
      </w:r>
      <w:r>
        <w:rPr>
          <w:rFonts w:hint="eastAsia" w:ascii="方正隶书_GBK" w:hAnsi="方正隶书_GBK" w:eastAsia="方正隶书_GBK" w:cs="方正隶书_GBK"/>
          <w:color w:val="000000"/>
          <w:kern w:val="0"/>
          <w:sz w:val="24"/>
          <w:szCs w:val="24"/>
          <w:shd w:val="clear" w:color="FFFFFF" w:fill="D9D9D9"/>
        </w:rPr>
        <w:t>个人用限售股</w:t>
      </w:r>
      <w:r>
        <w:rPr>
          <w:rFonts w:hint="eastAsia" w:ascii="方正隶书_GBK" w:hAnsi="方正隶书_GBK" w:eastAsia="方正隶书_GBK" w:cs="方正隶书_GBK"/>
          <w:b/>
          <w:bCs/>
          <w:color w:val="000000"/>
          <w:kern w:val="0"/>
          <w:sz w:val="24"/>
          <w:szCs w:val="24"/>
          <w:shd w:val="clear" w:color="FFFFFF" w:fill="D9D9D9"/>
        </w:rPr>
        <w:t>偿还</w:t>
      </w:r>
      <w:r>
        <w:rPr>
          <w:rFonts w:hint="eastAsia" w:ascii="方正隶书_GBK" w:hAnsi="方正隶书_GBK" w:eastAsia="方正隶书_GBK" w:cs="方正隶书_GBK"/>
          <w:color w:val="000000"/>
          <w:kern w:val="0"/>
          <w:sz w:val="24"/>
          <w:szCs w:val="24"/>
          <w:shd w:val="clear" w:color="FFFFFF" w:fill="D9D9D9"/>
        </w:rPr>
        <w:t>上市公司股权分置改革中由大股东代其向流通股股东支付的对价</w:t>
      </w:r>
      <w:r>
        <w:rPr>
          <w:rFonts w:hint="default" w:ascii="方正楷体_GBK" w:hAnsi="方正楷体_GBK" w:eastAsia="方正楷体_GBK" w:cs="方正楷体_GBK"/>
          <w:color w:val="000000"/>
          <w:kern w:val="0"/>
          <w:sz w:val="24"/>
          <w:szCs w:val="24"/>
          <w:lang w:val="en"/>
        </w:rPr>
        <w:t>]</w:t>
      </w:r>
      <w:r>
        <w:rPr>
          <w:rFonts w:hint="eastAsia" w:ascii="宋体" w:hAnsi="宋体" w:eastAsia="宋体" w:cs="宋体"/>
          <w:color w:val="000000"/>
          <w:kern w:val="0"/>
          <w:sz w:val="24"/>
          <w:szCs w:val="24"/>
        </w:rPr>
        <w:t>的转让收入以转让方</w:t>
      </w:r>
      <w:r>
        <w:rPr>
          <w:rFonts w:hint="eastAsia" w:ascii="方正楷体_GBK" w:hAnsi="方正楷体_GBK" w:eastAsia="方正楷体_GBK" w:cs="方正楷体_GBK"/>
          <w:color w:val="FF0000"/>
          <w:kern w:val="0"/>
          <w:sz w:val="24"/>
          <w:szCs w:val="24"/>
        </w:rPr>
        <w:t>取得该股时支付的成本</w:t>
      </w:r>
      <w:r>
        <w:rPr>
          <w:rFonts w:hint="eastAsia" w:ascii="宋体" w:hAnsi="宋体" w:eastAsia="宋体" w:cs="宋体"/>
          <w:color w:val="000000"/>
          <w:kern w:val="0"/>
          <w:sz w:val="24"/>
          <w:szCs w:val="24"/>
        </w:rPr>
        <w:t>计算。</w:t>
      </w:r>
    </w:p>
    <w:p>
      <w:pPr>
        <w:widowControl/>
        <w:spacing w:line="540" w:lineRule="atLeast"/>
        <w:ind w:firstLine="480" w:firstLineChars="200"/>
        <w:jc w:val="left"/>
        <w:rPr>
          <w:rFonts w:hint="eastAsia" w:ascii="宋体" w:hAnsi="宋体" w:eastAsia="宋体" w:cs="宋体"/>
          <w:b/>
          <w:bCs/>
          <w:color w:val="FF0000"/>
          <w:kern w:val="0"/>
          <w:sz w:val="24"/>
          <w:szCs w:val="24"/>
          <w:highlight w:val="cyan"/>
        </w:rPr>
      </w:pP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四）个人转让因协议受让、司法扣划等情形取得未解禁限售股的，成本按照主管税务机关认可的协议受让价格、司法扣划价格核定，无法提供相关资料的，按照财税[2009]167号文件第五条第（一）项规定执行；个人转让因依法继承或家庭财产依法分割取得的限售股的，按财税[2009]167号文件规定缴纳个人所得税，成本按照该限售股前一持有人取得该股时实际成本及税费计算。</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五）在证券机构技术和制度准备完成后形成的限售股，自股票上市首日至解禁日期间发生送、转、缩股的，证券登记结算公司应依据送、转、缩股比例对限售股成本原值进行调整；而对于其他权益分派的情形（如现金分红、配股等），不对限售股的成本原值进行调整。</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（六）</w:t>
      </w:r>
      <w:r>
        <w:rPr>
          <w:rFonts w:hint="eastAsia" w:ascii="宋体" w:hAnsi="宋体" w:eastAsia="宋体" w:cs="宋体"/>
          <w:b/>
          <w:bCs/>
          <w:color w:val="000000"/>
          <w:kern w:val="0"/>
          <w:sz w:val="24"/>
          <w:szCs w:val="24"/>
        </w:rPr>
        <w:t>因个人持有限售股中存在部分限售股成本原值不明确，导致无法准确计算全部限售股成本原值的，证券登记结算公司一律</w:t>
      </w:r>
      <w:r>
        <w:rPr>
          <w:rFonts w:hint="eastAsia" w:ascii="宋体" w:hAnsi="宋体" w:eastAsia="宋体" w:cs="宋体"/>
          <w:b/>
          <w:bCs/>
          <w:color w:val="000000"/>
          <w:kern w:val="0"/>
          <w:sz w:val="24"/>
          <w:szCs w:val="24"/>
          <w:highlight w:val="cyan"/>
        </w:rPr>
        <w:t>以实际转让收入的15％作为</w:t>
      </w:r>
      <w:r>
        <w:rPr>
          <w:rFonts w:hint="eastAsia" w:ascii="宋体" w:hAnsi="宋体" w:eastAsia="宋体" w:cs="宋体"/>
          <w:b/>
          <w:bCs/>
          <w:color w:val="FF0000"/>
          <w:kern w:val="0"/>
          <w:sz w:val="24"/>
          <w:szCs w:val="24"/>
          <w:highlight w:val="cyan"/>
        </w:rPr>
        <w:t>限售股成本原值和合理税费。</w:t>
      </w:r>
    </w:p>
    <w:p>
      <w:pPr>
        <w:widowControl/>
        <w:spacing w:line="540" w:lineRule="atLeast"/>
        <w:ind w:firstLine="481" w:firstLineChars="200"/>
        <w:jc w:val="left"/>
        <w:rPr>
          <w:rFonts w:ascii="宋体" w:hAnsi="宋体" w:eastAsia="宋体" w:cs="宋体"/>
          <w:color w:val="000000"/>
          <w:kern w:val="0"/>
          <w:sz w:val="24"/>
          <w:szCs w:val="24"/>
        </w:rPr>
      </w:pPr>
      <w:r>
        <w:rPr>
          <w:rFonts w:hint="eastAsia" w:ascii="宋体" w:hAnsi="宋体" w:eastAsia="宋体" w:cs="宋体"/>
          <w:b/>
          <w:bCs/>
          <w:color w:val="FF0000"/>
          <w:kern w:val="0"/>
          <w:sz w:val="24"/>
          <w:szCs w:val="24"/>
          <w:highlight w:val="cyan"/>
        </w:rPr>
        <w:br w:type="textWrapping"/>
      </w:r>
      <w:r>
        <w:rPr>
          <w:rFonts w:hint="eastAsia" w:ascii="宋体" w:hAnsi="宋体" w:eastAsia="宋体" w:cs="宋体"/>
          <w:color w:val="FF0000"/>
          <w:kern w:val="0"/>
          <w:sz w:val="24"/>
          <w:szCs w:val="24"/>
        </w:rPr>
        <w:t>　　</w:t>
      </w:r>
      <w:r>
        <w:rPr>
          <w:rFonts w:hint="eastAsia" w:ascii="黑体" w:hAnsi="黑体" w:eastAsia="黑体" w:cs="黑体"/>
          <w:b/>
          <w:bCs/>
          <w:color w:val="auto"/>
          <w:kern w:val="0"/>
          <w:sz w:val="24"/>
          <w:szCs w:val="24"/>
        </w:rPr>
        <w:t>四、征收管理</w:t>
      </w:r>
      <w:r>
        <w:rPr>
          <w:rFonts w:hint="eastAsia" w:ascii="黑体" w:hAnsi="黑体" w:eastAsia="黑体" w:cs="黑体"/>
          <w:b/>
          <w:bCs/>
          <w:color w:val="auto"/>
          <w:kern w:val="0"/>
          <w:sz w:val="24"/>
          <w:szCs w:val="24"/>
        </w:rPr>
        <w:br w:type="textWrapping"/>
      </w:r>
      <w:r>
        <w:rPr>
          <w:rFonts w:hint="eastAsia" w:ascii="宋体" w:hAnsi="宋体" w:eastAsia="宋体" w:cs="宋体"/>
          <w:color w:val="000000"/>
          <w:kern w:val="0"/>
          <w:sz w:val="24"/>
          <w:szCs w:val="24"/>
        </w:rPr>
        <w:t>　　（一）纳税人发生第二条第（一）、（二）、（三）、（四）项情形的，对其应纳个人所得税按照财税[2009]167号文件规定，采取证券机构预扣预缴、纳税人自行申报清算和证券机构直接扣缴相结合的方式征收。</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方正楷体_GBK" w:hAnsi="方正楷体_GBK" w:eastAsia="方正楷体_GBK" w:cs="方正楷体_GBK"/>
          <w:color w:val="000000"/>
          <w:kern w:val="0"/>
          <w:sz w:val="24"/>
          <w:szCs w:val="24"/>
        </w:rPr>
        <w:t>　本通知所称的证券机构，包括证券登记结算公司、证券公司及其分支机构。其中，证券登记结算公司以证券账户为单位计算个人应纳税额，证券公司及其分支机构依据证券登记结算公司提供的数据负责对个人应缴纳的个人所得税以证券账户为单位进行预扣预缴。纳税人对证券登记结算公司计算的应纳税额有异议的，可持相关完整、真实凭证，向主管税务机关提出清算申报并办理清算事宜。主管税务机构审核确认后，按照重新计算的应纳税额，办理退（补）税手续。</w:t>
      </w:r>
      <w:r>
        <w:rPr>
          <w:rFonts w:hint="eastAsia" w:ascii="方正楷体_GBK" w:hAnsi="方正楷体_GBK" w:eastAsia="方正楷体_GBK" w:cs="方正楷体_GBK"/>
          <w:color w:val="000000"/>
          <w:kern w:val="0"/>
          <w:sz w:val="24"/>
          <w:szCs w:val="24"/>
        </w:rPr>
        <w:br w:type="textWrapping"/>
      </w:r>
      <w:r>
        <w:rPr>
          <w:rFonts w:hint="eastAsia" w:ascii="宋体" w:hAnsi="宋体" w:eastAsia="宋体" w:cs="宋体"/>
          <w:color w:val="000000"/>
          <w:kern w:val="0"/>
          <w:sz w:val="24"/>
          <w:szCs w:val="24"/>
        </w:rPr>
        <w:t>　　（二）纳税人发生第二条第（五）、（六）、（七）、（八）项情形的，采取纳税人自行申报纳税的方式。纳税人转让限售股后，应在次月七日内到主管税务机关填报《限售股转让所得个人所得税清算申报表》，自行申报纳税。主管税务机关审核确认后应开具完税凭证，纳税人应持完税凭证、《限售股转让所得个人所得税清算申报表》复印件到证券登记结算公司办理限售股过户手续。纳税人未提供完税凭证和《限售股转让所得个人所得税清算申报表》复印件的，证券登记结算公司不予办理过户。</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纳税人自行申报的，应一次办结相关涉税事宜，不再执行财税[2009]167号文件中有关纳税人自行申报清算的规定。对第二条第（六）项情形，如国家有权机关要求强制执行的，证券登记结算公司在履行告知义务后予以协助执行，并报告相关主管税务机关。</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五、个人持有在证券机构技术和制度准备完成后形成的拟上市公司限售股，在公司上市前，个人应委托拟上市公司向证券登记结算公司提供有关限售股成本原值详细资料，以及会计师事务所或税务师事务所对该资料出具的鉴证报告。逾期未提供的，证券登记结算公司以实际转让收入的15%核定限售股原值和合理税费。</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六、个人转让限售股所得需由证券机构预扣预缴税款的，应在客户资金账户留足资金供证券机构扣缴税款，依法履行纳税义务。证券机构应采取积极、有效措施依法履行扣缴税款义务，对纳税人资金账户暂无资金或资金不足的，证券机构应当及时通知个人投资者补足资金，并扣缴税款。个人投资者未补足资金的，证券机构应当及时报告相关主管税务机关，并依法提供纳税人相关资料。</w:t>
      </w:r>
    </w:p>
    <w:p>
      <w:pPr>
        <w:jc w:val="center"/>
        <w:rPr>
          <w:rFonts w:ascii="宋体" w:hAnsi="宋体" w:eastAsia="宋体" w:cs="宋体"/>
          <w:color w:val="000000"/>
          <w:kern w:val="0"/>
          <w:sz w:val="24"/>
          <w:szCs w:val="24"/>
        </w:rPr>
      </w:pPr>
    </w:p>
    <w:p>
      <w:pPr>
        <w:jc w:val="center"/>
        <w:rPr>
          <w:rFonts w:ascii="宋体" w:hAnsi="宋体" w:eastAsia="宋体" w:cs="宋体"/>
          <w:color w:val="000000"/>
          <w:kern w:val="0"/>
          <w:sz w:val="24"/>
          <w:szCs w:val="24"/>
        </w:rPr>
      </w:pPr>
    </w:p>
    <w:p>
      <w:pPr>
        <w:jc w:val="center"/>
        <w:rPr>
          <w:rFonts w:ascii="宋体" w:hAnsi="宋体" w:eastAsia="宋体" w:cs="宋体"/>
          <w:color w:val="000000"/>
          <w:kern w:val="0"/>
          <w:sz w:val="24"/>
          <w:szCs w:val="24"/>
        </w:rPr>
      </w:pPr>
    </w:p>
    <w:p>
      <w:pPr>
        <w:jc w:val="center"/>
        <w:rPr>
          <w:rFonts w:ascii="宋体" w:hAnsi="宋体" w:eastAsia="宋体" w:cs="宋体"/>
          <w:color w:val="000000"/>
          <w:kern w:val="0"/>
          <w:sz w:val="24"/>
          <w:szCs w:val="24"/>
        </w:rPr>
      </w:pPr>
    </w:p>
    <w:p>
      <w:pPr>
        <w:jc w:val="center"/>
        <w:rPr>
          <w:rFonts w:hint="eastAsia" w:ascii="华文中宋" w:hAnsi="华文中宋" w:eastAsia="华文中宋" w:cs="华文中宋"/>
          <w:b/>
          <w:i w:val="0"/>
          <w:caps w:val="0"/>
          <w:color w:val="323534"/>
          <w:spacing w:val="0"/>
          <w:sz w:val="36"/>
          <w:szCs w:val="36"/>
          <w:u w:val="none"/>
          <w:shd w:val="clear" w:fill="FFFFFF"/>
        </w:rPr>
      </w:pPr>
    </w:p>
    <w:p>
      <w:pPr>
        <w:jc w:val="center"/>
        <w:rPr>
          <w:rFonts w:hint="eastAsia" w:ascii="华文中宋" w:hAnsi="华文中宋" w:eastAsia="华文中宋" w:cs="华文中宋"/>
          <w:b/>
          <w:i w:val="0"/>
          <w:caps w:val="0"/>
          <w:color w:val="323534"/>
          <w:spacing w:val="0"/>
          <w:sz w:val="36"/>
          <w:szCs w:val="36"/>
          <w:u w:val="none"/>
          <w:shd w:val="clear" w:fill="FFFFFF"/>
        </w:rPr>
      </w:pPr>
      <w:r>
        <w:rPr>
          <w:rFonts w:hint="eastAsia" w:ascii="华文中宋" w:hAnsi="华文中宋" w:eastAsia="华文中宋" w:cs="华文中宋"/>
          <w:b/>
          <w:i w:val="0"/>
          <w:caps w:val="0"/>
          <w:color w:val="323534"/>
          <w:spacing w:val="0"/>
          <w:sz w:val="36"/>
          <w:szCs w:val="36"/>
          <w:u w:val="none"/>
          <w:shd w:val="clear" w:fill="FFFFFF"/>
        </w:rPr>
        <w:t>国家税务总局</w:t>
      </w:r>
    </w:p>
    <w:p>
      <w:pPr>
        <w:jc w:val="center"/>
        <w:rPr>
          <w:rFonts w:hint="eastAsia" w:ascii="方正大标宋简体" w:hAnsi="方正大标宋简体" w:eastAsia="方正大标宋简体" w:cs="方正大标宋简体"/>
          <w:b/>
          <w:i w:val="0"/>
          <w:caps w:val="0"/>
          <w:color w:val="FF0000"/>
          <w:spacing w:val="0"/>
          <w:sz w:val="24"/>
          <w:szCs w:val="24"/>
          <w:u w:val="none"/>
          <w:shd w:val="clear" w:fill="FFFFFF"/>
          <w:lang w:eastAsia="zh-CN"/>
        </w:rPr>
      </w:pPr>
      <w:r>
        <w:rPr>
          <w:rFonts w:hint="eastAsia" w:ascii="华文中宋" w:hAnsi="华文中宋" w:eastAsia="华文中宋" w:cs="华文中宋"/>
          <w:b/>
          <w:i w:val="0"/>
          <w:caps w:val="0"/>
          <w:color w:val="323534"/>
          <w:spacing w:val="0"/>
          <w:sz w:val="36"/>
          <w:szCs w:val="36"/>
          <w:u w:val="none"/>
          <w:shd w:val="clear" w:fill="FFFFFF"/>
        </w:rPr>
        <w:t>关于企业转让上市公司限售股有关所得税问题的公告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微软雅黑" w:hAnsi="微软雅黑" w:eastAsia="微软雅黑" w:cs="微软雅黑"/>
          <w:i w:val="0"/>
          <w:caps w:val="0"/>
          <w:color w:val="333333"/>
          <w:spacing w:val="0"/>
          <w:sz w:val="24"/>
          <w:szCs w:val="24"/>
        </w:rPr>
      </w:pPr>
      <w:r>
        <w:rPr>
          <w:rFonts w:hint="eastAsia" w:ascii="方正大标宋简体" w:hAnsi="方正大标宋简体" w:eastAsia="方正大标宋简体" w:cs="方正大标宋简体"/>
          <w:b/>
          <w:i w:val="0"/>
          <w:caps w:val="0"/>
          <w:color w:val="FF0000"/>
          <w:spacing w:val="0"/>
          <w:sz w:val="24"/>
          <w:szCs w:val="24"/>
          <w:u w:val="none"/>
          <w:shd w:val="clear" w:fill="FFFFFF"/>
          <w:lang w:eastAsia="zh-CN"/>
        </w:rPr>
        <w:t>国家税务总局</w:t>
      </w:r>
      <w:r>
        <w:rPr>
          <w:rFonts w:hint="eastAsia" w:ascii="方正大标宋简体" w:hAnsi="方正大标宋简体" w:eastAsia="方正大标宋简体" w:cs="方正大标宋简体"/>
          <w:b/>
          <w:i w:val="0"/>
          <w:caps w:val="0"/>
          <w:color w:val="FF0000"/>
          <w:spacing w:val="0"/>
          <w:sz w:val="24"/>
          <w:szCs w:val="24"/>
          <w:u w:val="none"/>
          <w:shd w:val="clear" w:fill="FFFFFF"/>
          <w:lang w:val="en-US" w:eastAsia="zh-CN"/>
        </w:rPr>
        <w:t>2011年第39号公告</w:t>
      </w:r>
      <w:r>
        <w:rPr>
          <w:rFonts w:hint="eastAsia" w:ascii="微软雅黑" w:hAnsi="微软雅黑" w:eastAsia="微软雅黑" w:cs="微软雅黑"/>
          <w:i w:val="0"/>
          <w:caps w:val="0"/>
          <w:color w:val="333333"/>
          <w:spacing w:val="0"/>
          <w:kern w:val="0"/>
          <w:sz w:val="24"/>
          <w:szCs w:val="24"/>
          <w:shd w:val="clear" w:fill="FFFFFF"/>
          <w:lang w:val="en-US" w:eastAsia="zh-CN" w:bidi="ar"/>
        </w:rPr>
        <w:t xml:space="preserve">   2011年7月7日</w:t>
      </w:r>
    </w:p>
    <w:p>
      <w:pPr>
        <w:jc w:val="center"/>
        <w:rPr>
          <w:rFonts w:hint="eastAsia" w:ascii="方正大标宋简体" w:hAnsi="方正大标宋简体" w:eastAsia="方正大标宋简体" w:cs="方正大标宋简体"/>
          <w:color w:val="FF0000"/>
          <w:sz w:val="28"/>
          <w:szCs w:val="28"/>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kern w:val="0"/>
          <w:sz w:val="24"/>
          <w:szCs w:val="24"/>
          <w:shd w:val="clear" w:fill="FFFFFF"/>
          <w:lang w:val="en-US" w:eastAsia="zh-CN" w:bidi="ar"/>
        </w:rPr>
      </w:pPr>
      <w:r>
        <w:rPr>
          <w:rFonts w:hint="eastAsia" w:ascii="微软雅黑" w:hAnsi="微软雅黑" w:eastAsia="微软雅黑" w:cs="微软雅黑"/>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微软雅黑" w:hAnsi="微软雅黑" w:eastAsia="微软雅黑" w:cs="微软雅黑"/>
          <w:b/>
          <w:bCs/>
          <w:i w:val="0"/>
          <w:caps w:val="0"/>
          <w:color w:val="333333"/>
          <w:spacing w:val="0"/>
          <w:kern w:val="0"/>
          <w:sz w:val="24"/>
          <w:szCs w:val="24"/>
          <w:shd w:val="clear" w:fill="FFFFFF"/>
          <w:lang w:val="en-US" w:eastAsia="zh-CN" w:bidi="ar"/>
        </w:rPr>
      </w:pPr>
      <w:r>
        <w:rPr>
          <w:rFonts w:hint="eastAsia" w:ascii="微软雅黑" w:hAnsi="微软雅黑" w:eastAsia="微软雅黑" w:cs="微软雅黑"/>
          <w:i w:val="0"/>
          <w:caps w:val="0"/>
          <w:color w:val="333333"/>
          <w:spacing w:val="-11"/>
          <w:kern w:val="0"/>
          <w:sz w:val="24"/>
          <w:szCs w:val="24"/>
          <w:shd w:val="clear" w:fill="FFFFFF"/>
          <w:lang w:val="en-US" w:eastAsia="zh-CN" w:bidi="ar"/>
        </w:rPr>
        <w:t>根据《中华人民共和国企业所得税法》（以下简称企业所得税法）及其实施条例的有关规定，现就企业转让上市公司限售股（以下简称限售股）有关所得税问题，公告如下：</w:t>
      </w:r>
      <w:r>
        <w:rPr>
          <w:rFonts w:hint="eastAsia" w:ascii="微软雅黑" w:hAnsi="微软雅黑" w:eastAsia="微软雅黑" w:cs="微软雅黑"/>
          <w:i w:val="0"/>
          <w:caps w:val="0"/>
          <w:color w:val="333333"/>
          <w:spacing w:val="-11"/>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r>
        <w:rPr>
          <w:rFonts w:hint="eastAsia" w:ascii="微软雅黑" w:hAnsi="微软雅黑" w:eastAsia="微软雅黑" w:cs="微软雅黑"/>
          <w:b/>
          <w:bCs/>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微软雅黑" w:hAnsi="微软雅黑" w:eastAsia="微软雅黑" w:cs="微软雅黑"/>
          <w:i w:val="0"/>
          <w:caps w:val="0"/>
          <w:color w:val="333333"/>
          <w:spacing w:val="0"/>
          <w:kern w:val="0"/>
          <w:sz w:val="24"/>
          <w:szCs w:val="24"/>
          <w:shd w:val="clear" w:fill="FFFFFF"/>
          <w:lang w:val="en-US" w:eastAsia="zh-CN" w:bidi="ar"/>
        </w:rPr>
      </w:pPr>
      <w:r>
        <w:rPr>
          <w:rFonts w:hint="eastAsia" w:ascii="微软雅黑" w:hAnsi="微软雅黑" w:eastAsia="微软雅黑" w:cs="微软雅黑"/>
          <w:b/>
          <w:bCs/>
          <w:i w:val="0"/>
          <w:caps w:val="0"/>
          <w:color w:val="333333"/>
          <w:spacing w:val="0"/>
          <w:kern w:val="0"/>
          <w:sz w:val="24"/>
          <w:szCs w:val="24"/>
          <w:shd w:val="clear" w:fill="FFFFFF"/>
          <w:lang w:val="en-US" w:eastAsia="zh-CN" w:bidi="ar"/>
        </w:rPr>
        <w:t>一、</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t>纳税义务人的范围界定问题</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根据企业所得税法第一条及其实施条例第三条的规定，转让限售股取得收入的企业（包括事业单位、社会团体、民办非企业单位等），为企业所得税的纳税义务人。</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微软雅黑" w:hAnsi="微软雅黑" w:eastAsia="微软雅黑" w:cs="微软雅黑"/>
          <w:b/>
          <w:bCs/>
          <w:i w:val="0"/>
          <w:caps w:val="0"/>
          <w:color w:val="333333"/>
          <w:spacing w:val="0"/>
          <w:kern w:val="0"/>
          <w:sz w:val="24"/>
          <w:szCs w:val="24"/>
          <w:shd w:val="clear" w:fill="FFFFFF"/>
          <w:lang w:val="en-US" w:eastAsia="zh-CN" w:bidi="ar"/>
        </w:rPr>
      </w:pPr>
      <w:r>
        <w:rPr>
          <w:rFonts w:hint="eastAsia" w:ascii="微软雅黑" w:hAnsi="微软雅黑" w:eastAsia="微软雅黑" w:cs="微软雅黑"/>
          <w:b/>
          <w:bCs/>
          <w:i w:val="0"/>
          <w:caps w:val="0"/>
          <w:color w:val="333333"/>
          <w:spacing w:val="0"/>
          <w:kern w:val="0"/>
          <w:sz w:val="24"/>
          <w:szCs w:val="24"/>
          <w:shd w:val="clear" w:fill="FFFFFF"/>
          <w:lang w:val="en-US" w:eastAsia="zh-CN" w:bidi="ar"/>
        </w:rPr>
        <w:t>二、</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t>企业转让</w:t>
      </w:r>
      <w:r>
        <w:rPr>
          <w:rFonts w:hint="eastAsia" w:ascii="微软雅黑" w:hAnsi="微软雅黑" w:eastAsia="微软雅黑" w:cs="微软雅黑"/>
          <w:b/>
          <w:bCs/>
          <w:i w:val="0"/>
          <w:caps w:val="0"/>
          <w:color w:val="FF0000"/>
          <w:spacing w:val="0"/>
          <w:kern w:val="0"/>
          <w:sz w:val="24"/>
          <w:szCs w:val="24"/>
          <w:highlight w:val="yellow"/>
          <w:shd w:val="clear" w:fill="FFFFFF"/>
          <w:lang w:val="en-US" w:eastAsia="zh-CN" w:bidi="ar"/>
        </w:rPr>
        <w:t>代个人持有的限售股</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t>征税问题</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因股权分置改革造成</w:t>
      </w:r>
      <w:r>
        <w:rPr>
          <w:rFonts w:hint="eastAsia" w:ascii="方正大黑简体" w:hAnsi="方正大黑简体" w:eastAsia="方正大黑简体" w:cs="方正大黑简体"/>
          <w:i w:val="0"/>
          <w:caps w:val="0"/>
          <w:color w:val="333333"/>
          <w:spacing w:val="0"/>
          <w:kern w:val="0"/>
          <w:sz w:val="24"/>
          <w:szCs w:val="24"/>
          <w:highlight w:val="cyan"/>
          <w:shd w:val="clear" w:fill="FFFFFF"/>
          <w:lang w:val="en-US" w:eastAsia="zh-CN" w:bidi="ar"/>
        </w:rPr>
        <w:t>原由个人出资而由企业代持有的限售股</w:t>
      </w:r>
      <w:r>
        <w:rPr>
          <w:rFonts w:hint="eastAsia" w:ascii="微软雅黑" w:hAnsi="微软雅黑" w:eastAsia="微软雅黑" w:cs="微软雅黑"/>
          <w:i w:val="0"/>
          <w:caps w:val="0"/>
          <w:color w:val="333333"/>
          <w:spacing w:val="0"/>
          <w:kern w:val="0"/>
          <w:sz w:val="24"/>
          <w:szCs w:val="24"/>
          <w:shd w:val="clear" w:fill="FFFFFF"/>
          <w:lang w:val="en-US" w:eastAsia="zh-CN" w:bidi="ar"/>
        </w:rPr>
        <w:t>，企业在转让时按以下规定处理：</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（一）</w:t>
      </w:r>
      <w:r>
        <w:rPr>
          <w:rFonts w:hint="eastAsia" w:ascii="方正大黑简体" w:hAnsi="方正大黑简体" w:eastAsia="方正大黑简体" w:cs="方正大黑简体"/>
          <w:i w:val="0"/>
          <w:caps w:val="0"/>
          <w:color w:val="333333"/>
          <w:spacing w:val="0"/>
          <w:kern w:val="0"/>
          <w:sz w:val="24"/>
          <w:szCs w:val="24"/>
          <w:shd w:val="clear" w:fill="FFFFFF"/>
          <w:lang w:val="en-US" w:eastAsia="zh-CN" w:bidi="ar"/>
        </w:rPr>
        <w:t>企业转让上述限售股取得的收入，应作为</w:t>
      </w:r>
      <w:r>
        <w:rPr>
          <w:rFonts w:hint="eastAsia" w:ascii="方正大黑简体" w:hAnsi="方正大黑简体" w:eastAsia="方正大黑简体" w:cs="方正大黑简体"/>
          <w:i w:val="0"/>
          <w:caps w:val="0"/>
          <w:color w:val="FF0000"/>
          <w:spacing w:val="0"/>
          <w:kern w:val="0"/>
          <w:sz w:val="24"/>
          <w:szCs w:val="24"/>
          <w:shd w:val="clear" w:fill="FFFFFF"/>
          <w:lang w:val="en-US" w:eastAsia="zh-CN" w:bidi="ar"/>
        </w:rPr>
        <w:t>企业应税收入</w:t>
      </w:r>
      <w:r>
        <w:rPr>
          <w:rFonts w:hint="eastAsia" w:ascii="方正大黑简体" w:hAnsi="方正大黑简体" w:eastAsia="方正大黑简体" w:cs="方正大黑简体"/>
          <w:i w:val="0"/>
          <w:caps w:val="0"/>
          <w:color w:val="333333"/>
          <w:spacing w:val="0"/>
          <w:kern w:val="0"/>
          <w:sz w:val="24"/>
          <w:szCs w:val="24"/>
          <w:shd w:val="clear" w:fill="FFFFFF"/>
          <w:lang w:val="en-US" w:eastAsia="zh-CN" w:bidi="ar"/>
        </w:rPr>
        <w:t>计算纳税。</w:t>
      </w:r>
      <w:r>
        <w:rPr>
          <w:rFonts w:hint="eastAsia" w:ascii="方正大黑简体" w:hAnsi="方正大黑简体" w:eastAsia="方正大黑简体" w:cs="方正大黑简体"/>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上述限售股转让收入扣除限售股原值和合理税费后的余额为该限售股转让所得。企业未能提供完整、真实的限售股原值凭证，不能准确计算该限售股原值的，主管税务机关一律按该限售股转让收入的15%，核定为该限售股原值和合理税费。</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r>
        <w:rPr>
          <w:rFonts w:hint="eastAsia" w:ascii="方正大标宋简体" w:hAnsi="方正大标宋简体" w:eastAsia="方正大标宋简体" w:cs="方正大标宋简体"/>
          <w:b/>
          <w:bCs/>
          <w:i w:val="0"/>
          <w:caps w:val="0"/>
          <w:color w:val="333333"/>
          <w:spacing w:val="0"/>
          <w:kern w:val="0"/>
          <w:sz w:val="24"/>
          <w:szCs w:val="24"/>
          <w:shd w:val="clear" w:fill="FFFFFF"/>
          <w:lang w:val="en-US" w:eastAsia="zh-CN" w:bidi="ar"/>
        </w:rPr>
        <w:t>依照本条规定完成纳税义务后的</w:t>
      </w:r>
      <w:r>
        <w:rPr>
          <w:rFonts w:hint="eastAsia" w:ascii="方正大标宋简体" w:hAnsi="方正大标宋简体" w:eastAsia="方正大标宋简体" w:cs="方正大标宋简体"/>
          <w:b/>
          <w:bCs/>
          <w:i w:val="0"/>
          <w:caps w:val="0"/>
          <w:color w:val="333333"/>
          <w:spacing w:val="0"/>
          <w:kern w:val="0"/>
          <w:sz w:val="24"/>
          <w:szCs w:val="24"/>
          <w:highlight w:val="cyan"/>
          <w:shd w:val="clear" w:fill="FFFFFF"/>
          <w:lang w:val="en-US" w:eastAsia="zh-CN" w:bidi="ar"/>
        </w:rPr>
        <w:t>限售股转让收入余额</w:t>
      </w:r>
      <w:r>
        <w:rPr>
          <w:rFonts w:hint="eastAsia" w:ascii="微软雅黑" w:hAnsi="微软雅黑" w:eastAsia="微软雅黑" w:cs="微软雅黑"/>
          <w:b/>
          <w:bCs/>
          <w:i w:val="0"/>
          <w:caps w:val="0"/>
          <w:color w:val="FF0000"/>
          <w:spacing w:val="0"/>
          <w:kern w:val="0"/>
          <w:sz w:val="24"/>
          <w:szCs w:val="24"/>
          <w:shd w:val="clear" w:fill="FFFFFF"/>
          <w:lang w:val="en-US" w:eastAsia="zh-CN" w:bidi="ar"/>
        </w:rPr>
        <w:t>转付给实际所有人时</w:t>
      </w:r>
      <w:r>
        <w:rPr>
          <w:rFonts w:hint="eastAsia" w:ascii="微软雅黑" w:hAnsi="微软雅黑" w:eastAsia="微软雅黑" w:cs="微软雅黑"/>
          <w:b/>
          <w:bCs/>
          <w:i w:val="0"/>
          <w:caps w:val="0"/>
          <w:color w:val="333333"/>
          <w:spacing w:val="0"/>
          <w:kern w:val="0"/>
          <w:sz w:val="24"/>
          <w:szCs w:val="24"/>
          <w:highlight w:val="cyan"/>
          <w:shd w:val="clear" w:fill="FFFFFF"/>
          <w:lang w:val="en-US" w:eastAsia="zh-CN" w:bidi="ar"/>
        </w:rPr>
        <w:t>不再纳税</w:t>
      </w:r>
      <w:r>
        <w:rPr>
          <w:rFonts w:hint="eastAsia" w:ascii="微软雅黑" w:hAnsi="微软雅黑" w:eastAsia="微软雅黑" w:cs="微软雅黑"/>
          <w:i w:val="0"/>
          <w:caps w:val="0"/>
          <w:color w:val="333333"/>
          <w:spacing w:val="0"/>
          <w:kern w:val="0"/>
          <w:sz w:val="24"/>
          <w:szCs w:val="24"/>
          <w:shd w:val="clear" w:fill="FFFFFF"/>
          <w:lang w:val="en-US" w:eastAsia="zh-CN" w:bidi="ar"/>
        </w:rPr>
        <w:t>。</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r>
        <w:rPr>
          <w:rFonts w:hint="eastAsia" w:ascii="华文中宋" w:hAnsi="华文中宋" w:eastAsia="华文中宋" w:cs="华文中宋"/>
          <w:i w:val="0"/>
          <w:caps w:val="0"/>
          <w:color w:val="333333"/>
          <w:spacing w:val="0"/>
          <w:kern w:val="0"/>
          <w:sz w:val="24"/>
          <w:szCs w:val="24"/>
          <w:shd w:val="clear" w:fill="FFFFFF"/>
          <w:lang w:val="en-US" w:eastAsia="zh-CN" w:bidi="ar"/>
        </w:rPr>
        <w:t>（二）</w:t>
      </w:r>
      <w:r>
        <w:rPr>
          <w:rFonts w:hint="eastAsia" w:ascii="华文中宋" w:hAnsi="华文中宋" w:eastAsia="华文中宋" w:cs="华文中宋"/>
          <w:b/>
          <w:bCs/>
          <w:i w:val="0"/>
          <w:caps w:val="0"/>
          <w:color w:val="333333"/>
          <w:spacing w:val="0"/>
          <w:kern w:val="0"/>
          <w:sz w:val="24"/>
          <w:szCs w:val="24"/>
          <w:shd w:val="clear" w:fill="FFFFFF"/>
          <w:lang w:val="en-US" w:eastAsia="zh-CN" w:bidi="ar"/>
        </w:rPr>
        <w:t>依法院判决、裁定等原因，通过证券登记结算公司，企业将其代持的个人限售股直接变更到实际所有人名下的，不视同转让限售股。</w:t>
      </w:r>
      <w:r>
        <w:rPr>
          <w:rFonts w:hint="eastAsia" w:ascii="华文中宋" w:hAnsi="华文中宋" w:eastAsia="华文中宋" w:cs="华文中宋"/>
          <w:b/>
          <w:bCs/>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r>
        <w:rPr>
          <w:rFonts w:hint="eastAsia" w:ascii="微软雅黑" w:hAnsi="微软雅黑" w:eastAsia="微软雅黑" w:cs="微软雅黑"/>
          <w:b/>
          <w:bCs/>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微软雅黑" w:hAnsi="微软雅黑" w:eastAsia="微软雅黑" w:cs="微软雅黑"/>
          <w:i w:val="0"/>
          <w:caps w:val="0"/>
          <w:color w:val="333333"/>
          <w:spacing w:val="0"/>
          <w:kern w:val="0"/>
          <w:sz w:val="24"/>
          <w:szCs w:val="24"/>
          <w:shd w:val="clear" w:fill="FFFFFF"/>
          <w:lang w:val="en-US" w:eastAsia="zh-CN" w:bidi="ar"/>
        </w:rPr>
      </w:pPr>
      <w:r>
        <w:rPr>
          <w:rFonts w:hint="eastAsia" w:ascii="微软雅黑" w:hAnsi="微软雅黑" w:eastAsia="微软雅黑" w:cs="微软雅黑"/>
          <w:b/>
          <w:bCs/>
          <w:i w:val="0"/>
          <w:caps w:val="0"/>
          <w:color w:val="333333"/>
          <w:spacing w:val="0"/>
          <w:kern w:val="0"/>
          <w:sz w:val="24"/>
          <w:szCs w:val="24"/>
          <w:shd w:val="clear" w:fill="FFFFFF"/>
          <w:lang w:val="en-US" w:eastAsia="zh-CN" w:bidi="ar"/>
        </w:rPr>
        <w:t>三、</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t>企业在限售股</w:t>
      </w:r>
      <w:r>
        <w:rPr>
          <w:rFonts w:hint="eastAsia" w:ascii="微软雅黑" w:hAnsi="微软雅黑" w:eastAsia="微软雅黑" w:cs="微软雅黑"/>
          <w:b/>
          <w:bCs/>
          <w:i w:val="0"/>
          <w:caps w:val="0"/>
          <w:color w:val="FF0000"/>
          <w:spacing w:val="0"/>
          <w:kern w:val="0"/>
          <w:sz w:val="24"/>
          <w:szCs w:val="24"/>
          <w:highlight w:val="yellow"/>
          <w:shd w:val="clear" w:fill="FFFFFF"/>
          <w:lang w:val="en-US" w:eastAsia="zh-CN" w:bidi="ar"/>
        </w:rPr>
        <w:t>解禁前</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t>转让限售股征税问题</w:t>
      </w:r>
      <w:r>
        <w:rPr>
          <w:rFonts w:hint="eastAsia" w:ascii="微软雅黑" w:hAnsi="微软雅黑" w:eastAsia="微软雅黑" w:cs="微软雅黑"/>
          <w:b/>
          <w:bCs/>
          <w:i w:val="0"/>
          <w:caps w:val="0"/>
          <w:color w:val="333333"/>
          <w:spacing w:val="0"/>
          <w:kern w:val="0"/>
          <w:sz w:val="24"/>
          <w:szCs w:val="24"/>
          <w:highlight w:val="yellow"/>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企业在限售股解禁前将其持有的限售股转让给其他企业或个人（以下简称受让方），其企业所得税问题按以下规定处理：</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（一）企业应按减持在证券登记结算机构登记的限售股取得的全部收入，计入企业当年度应税收入计算纳税。</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（二）企业持有的限售股在解禁前已签订协议转让给受让方，但未变更股权登记、仍由企业持有的，企业实际减持该限售股取得的收入，依照本条第一项规定纳税后，其余额转付给受让方的，受让方不再纳税。</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fill="FFFFFF"/>
          <w:lang w:val="en-US" w:eastAsia="zh-CN" w:bidi="ar"/>
        </w:rPr>
        <w:t>四、</w:t>
      </w:r>
      <w:r>
        <w:rPr>
          <w:rFonts w:hint="eastAsia" w:ascii="微软雅黑" w:hAnsi="微软雅黑" w:eastAsia="微软雅黑" w:cs="微软雅黑"/>
          <w:b/>
          <w:bCs/>
          <w:i w:val="0"/>
          <w:caps w:val="0"/>
          <w:color w:val="FF0000"/>
          <w:spacing w:val="0"/>
          <w:kern w:val="0"/>
          <w:sz w:val="24"/>
          <w:szCs w:val="24"/>
          <w:highlight w:val="yellow"/>
          <w:shd w:val="clear" w:fill="FFFFFF"/>
          <w:lang w:val="en-US" w:eastAsia="zh-CN" w:bidi="ar"/>
        </w:rPr>
        <w:t>本公告自2011年7月1日起执行</w:t>
      </w:r>
      <w:r>
        <w:rPr>
          <w:rFonts w:hint="eastAsia" w:ascii="微软雅黑" w:hAnsi="微软雅黑" w:eastAsia="微软雅黑" w:cs="微软雅黑"/>
          <w:i w:val="0"/>
          <w:caps w:val="0"/>
          <w:color w:val="333333"/>
          <w:spacing w:val="0"/>
          <w:kern w:val="0"/>
          <w:sz w:val="24"/>
          <w:szCs w:val="24"/>
          <w:highlight w:val="yellow"/>
          <w:shd w:val="clear" w:fill="FFFFFF"/>
          <w:lang w:val="en-US" w:eastAsia="zh-CN" w:bidi="ar"/>
        </w:rPr>
        <w:t>。</w:t>
      </w:r>
      <w:r>
        <w:rPr>
          <w:rFonts w:hint="eastAsia" w:ascii="微软雅黑" w:hAnsi="微软雅黑" w:eastAsia="微软雅黑" w:cs="微软雅黑"/>
          <w:i w:val="0"/>
          <w:caps w:val="0"/>
          <w:color w:val="333333"/>
          <w:spacing w:val="0"/>
          <w:kern w:val="0"/>
          <w:sz w:val="24"/>
          <w:szCs w:val="24"/>
          <w:shd w:val="clear" w:fill="FFFFFF"/>
          <w:lang w:val="en-US" w:eastAsia="zh-CN" w:bidi="ar"/>
        </w:rPr>
        <w:t>本公告生效后尚未处理的纳税事项，按照本公告规定处理；已经处理的纳税事项，不再调整。</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宋体" w:hAnsi="宋体" w:eastAsia="宋体" w:cs="宋体"/>
          <w:color w:val="000000"/>
          <w:kern w:val="0"/>
          <w:sz w:val="24"/>
          <w:szCs w:val="24"/>
        </w:rPr>
      </w:pPr>
      <w:r>
        <w:rPr>
          <w:rFonts w:hint="eastAsia" w:ascii="微软雅黑" w:hAnsi="微软雅黑" w:eastAsia="微软雅黑" w:cs="微软雅黑"/>
          <w:i w:val="0"/>
          <w:caps w:val="0"/>
          <w:color w:val="333333"/>
          <w:spacing w:val="0"/>
          <w:kern w:val="0"/>
          <w:sz w:val="24"/>
          <w:szCs w:val="24"/>
          <w:shd w:val="clear" w:fill="FFFFFF"/>
          <w:lang w:val="en-US" w:eastAsia="zh-CN" w:bidi="ar"/>
        </w:rPr>
        <w:t xml:space="preserve">                                             </w:t>
      </w:r>
      <w:r>
        <w:rPr>
          <w:rFonts w:hint="eastAsia" w:ascii="微软雅黑" w:hAnsi="微软雅黑" w:eastAsia="微软雅黑" w:cs="微软雅黑"/>
          <w:i w:val="0"/>
          <w:caps w:val="0"/>
          <w:color w:val="333333"/>
          <w:spacing w:val="0"/>
          <w:kern w:val="0"/>
          <w:sz w:val="24"/>
          <w:szCs w:val="24"/>
          <w:shd w:val="clear" w:fill="FFFFFF"/>
          <w:lang w:val="en-US" w:eastAsia="zh-CN" w:bidi="ar"/>
        </w:rPr>
        <w:br w:type="textWrapping"/>
      </w:r>
      <w:r>
        <w:rPr>
          <w:rFonts w:hint="eastAsia" w:ascii="微软雅黑" w:hAnsi="微软雅黑" w:eastAsia="微软雅黑" w:cs="微软雅黑"/>
          <w:i w:val="0"/>
          <w:caps w:val="0"/>
          <w:color w:val="333333"/>
          <w:spacing w:val="0"/>
          <w:kern w:val="0"/>
          <w:sz w:val="24"/>
          <w:szCs w:val="24"/>
          <w:shd w:val="clear" w:fill="FFFFFF"/>
          <w:lang w:val="en-US" w:eastAsia="zh-CN" w:bidi="ar"/>
        </w:rPr>
        <w:t xml:space="preserve">　　                                        </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200" w:lineRule="exact"/>
        <w:ind w:left="0" w:right="0"/>
        <w:jc w:val="center"/>
        <w:textAlignment w:val="auto"/>
        <w:rPr>
          <w:rFonts w:hint="eastAsia" w:ascii="方正大标宋简体" w:hAnsi="方正大标宋简体" w:eastAsia="方正大标宋简体" w:cs="方正大标宋简体"/>
          <w:b/>
          <w:bCs w:val="0"/>
          <w:i w:val="0"/>
          <w:caps w:val="0"/>
          <w:color w:val="323534"/>
          <w:spacing w:val="0"/>
          <w:sz w:val="36"/>
          <w:szCs w:val="36"/>
          <w:shd w:val="clear" w:color="auto" w:fill="FFFFFF"/>
        </w:rPr>
      </w:pPr>
      <w:r>
        <w:rPr>
          <w:rFonts w:hint="eastAsia" w:ascii="方正大标宋简体" w:hAnsi="方正大标宋简体" w:eastAsia="方正大标宋简体" w:cs="方正大标宋简体"/>
          <w:b/>
          <w:bCs w:val="0"/>
          <w:i w:val="0"/>
          <w:caps w:val="0"/>
          <w:color w:val="323534"/>
          <w:spacing w:val="0"/>
          <w:sz w:val="36"/>
          <w:szCs w:val="36"/>
          <w:shd w:val="clear" w:color="auto" w:fill="FFFFFF"/>
        </w:rPr>
        <w:t>财政部 税务总局 证监会</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200" w:lineRule="exact"/>
        <w:ind w:left="0" w:right="0"/>
        <w:jc w:val="center"/>
        <w:textAlignment w:val="auto"/>
        <w:rPr>
          <w:rFonts w:hint="eastAsia" w:ascii="方正大标宋简体" w:hAnsi="方正大标宋简体" w:eastAsia="方正大标宋简体" w:cs="方正大标宋简体"/>
          <w:b/>
          <w:bCs w:val="0"/>
          <w:i w:val="0"/>
          <w:caps w:val="0"/>
          <w:color w:val="323534"/>
          <w:spacing w:val="0"/>
          <w:sz w:val="36"/>
          <w:szCs w:val="36"/>
          <w:shd w:val="clear" w:color="auto" w:fill="FFFFFF"/>
        </w:rPr>
      </w:pPr>
      <w:r>
        <w:rPr>
          <w:rFonts w:hint="eastAsia" w:ascii="方正大标宋简体" w:hAnsi="方正大标宋简体" w:eastAsia="方正大标宋简体" w:cs="方正大标宋简体"/>
          <w:b/>
          <w:bCs w:val="0"/>
          <w:i w:val="0"/>
          <w:caps w:val="0"/>
          <w:color w:val="323534"/>
          <w:spacing w:val="0"/>
          <w:sz w:val="36"/>
          <w:szCs w:val="36"/>
          <w:shd w:val="clear" w:color="auto" w:fill="FFFFFF"/>
        </w:rPr>
        <w:t>关于个人转让全国中小企业股份转让系统挂牌公司股票</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200" w:lineRule="exact"/>
        <w:ind w:left="0" w:right="0"/>
        <w:jc w:val="center"/>
        <w:textAlignment w:val="auto"/>
        <w:rPr>
          <w:rFonts w:hint="eastAsia" w:ascii="方正大标宋简体" w:hAnsi="方正大标宋简体" w:eastAsia="方正大标宋简体" w:cs="方正大标宋简体"/>
          <w:b/>
          <w:bCs w:val="0"/>
          <w:i w:val="0"/>
          <w:caps w:val="0"/>
          <w:color w:val="323534"/>
          <w:spacing w:val="0"/>
          <w:sz w:val="36"/>
          <w:szCs w:val="36"/>
          <w:shd w:val="clear" w:color="auto" w:fill="FFFFFF"/>
        </w:rPr>
      </w:pPr>
      <w:r>
        <w:rPr>
          <w:rFonts w:hint="eastAsia" w:ascii="方正大标宋简体" w:hAnsi="方正大标宋简体" w:eastAsia="方正大标宋简体" w:cs="方正大标宋简体"/>
          <w:b/>
          <w:bCs w:val="0"/>
          <w:i w:val="0"/>
          <w:caps w:val="0"/>
          <w:color w:val="323534"/>
          <w:spacing w:val="0"/>
          <w:sz w:val="36"/>
          <w:szCs w:val="36"/>
          <w:shd w:val="clear" w:color="auto" w:fill="FFFFFF"/>
        </w:rPr>
        <w:t>有关个人所得税政策的通知</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200" w:lineRule="exact"/>
        <w:ind w:left="0" w:right="0"/>
        <w:jc w:val="center"/>
        <w:textAlignment w:val="auto"/>
        <w:rPr>
          <w:rFonts w:hint="eastAsia" w:ascii="宋体" w:hAnsi="宋体" w:eastAsia="宋体" w:cs="宋体"/>
          <w:i w:val="0"/>
          <w:caps w:val="0"/>
          <w:color w:val="333333"/>
          <w:spacing w:val="0"/>
          <w:sz w:val="27"/>
          <w:szCs w:val="27"/>
          <w:shd w:val="clear" w:color="auto" w:fill="FFFFFF"/>
        </w:rPr>
      </w:pPr>
      <w:r>
        <w:rPr>
          <w:rFonts w:hint="eastAsia" w:ascii="微软雅黑" w:hAnsi="微软雅黑" w:eastAsia="微软雅黑" w:cs="微软雅黑"/>
          <w:b/>
          <w:bCs/>
          <w:i w:val="0"/>
          <w:caps w:val="0"/>
          <w:color w:val="FF0000"/>
          <w:spacing w:val="0"/>
          <w:sz w:val="24"/>
          <w:szCs w:val="24"/>
          <w:shd w:val="clear" w:color="auto" w:fill="FFFFFF"/>
          <w:lang w:eastAsia="zh-CN"/>
        </w:rPr>
        <w:t>财税【</w:t>
      </w:r>
      <w:r>
        <w:rPr>
          <w:rFonts w:hint="eastAsia" w:ascii="微软雅黑" w:hAnsi="微软雅黑" w:eastAsia="微软雅黑" w:cs="微软雅黑"/>
          <w:b/>
          <w:bCs/>
          <w:i w:val="0"/>
          <w:caps w:val="0"/>
          <w:color w:val="FF0000"/>
          <w:spacing w:val="0"/>
          <w:sz w:val="24"/>
          <w:szCs w:val="24"/>
          <w:shd w:val="clear" w:color="auto" w:fill="FFFFFF"/>
          <w:lang w:val="en-US" w:eastAsia="zh-CN"/>
        </w:rPr>
        <w:t xml:space="preserve">2018】137号 </w:t>
      </w:r>
      <w:r>
        <w:rPr>
          <w:rFonts w:hint="eastAsia" w:ascii="微软雅黑" w:hAnsi="微软雅黑" w:eastAsia="微软雅黑" w:cs="微软雅黑"/>
          <w:b/>
          <w:bCs/>
          <w:i w:val="0"/>
          <w:caps w:val="0"/>
          <w:color w:val="FF0000"/>
          <w:spacing w:val="0"/>
          <w:sz w:val="27"/>
          <w:szCs w:val="27"/>
          <w:shd w:val="clear" w:color="auto" w:fill="FFFFFF"/>
          <w:lang w:val="en-US" w:eastAsia="zh-CN"/>
        </w:rPr>
        <w:t xml:space="preserve">  </w:t>
      </w:r>
      <w:r>
        <w:rPr>
          <w:rFonts w:hint="eastAsia" w:ascii="宋体" w:hAnsi="宋体" w:eastAsia="宋体" w:cs="宋体"/>
          <w:i w:val="0"/>
          <w:caps w:val="0"/>
          <w:color w:val="333333"/>
          <w:spacing w:val="0"/>
          <w:sz w:val="27"/>
          <w:szCs w:val="27"/>
          <w:shd w:val="clear" w:color="auto" w:fill="FFFFFF"/>
        </w:rPr>
        <w:t>2018年11月30日</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200" w:lineRule="exact"/>
        <w:ind w:left="0" w:right="0"/>
        <w:jc w:val="center"/>
        <w:textAlignment w:val="auto"/>
        <w:rPr>
          <w:rFonts w:hint="default" w:ascii="宋体" w:hAnsi="宋体" w:eastAsia="宋体" w:cs="宋体"/>
          <w:i w:val="0"/>
          <w:caps w:val="0"/>
          <w:color w:val="333333"/>
          <w:spacing w:val="0"/>
          <w:sz w:val="27"/>
          <w:szCs w:val="27"/>
          <w:shd w:val="clear" w:color="auto" w:fill="FFFFFF"/>
          <w:lang w:val="en-US" w:eastAsia="zh-CN"/>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440" w:lineRule="exact"/>
        <w:ind w:left="0" w:right="0"/>
        <w:textAlignment w:val="auto"/>
        <w:rPr>
          <w:rFonts w:hint="eastAsia" w:ascii="宋体" w:hAnsi="宋体" w:eastAsia="宋体" w:cs="宋体"/>
          <w:sz w:val="27"/>
          <w:szCs w:val="27"/>
        </w:rPr>
      </w:pPr>
      <w:r>
        <w:rPr>
          <w:rFonts w:hint="eastAsia" w:ascii="微软雅黑" w:hAnsi="微软雅黑" w:eastAsia="微软雅黑" w:cs="微软雅黑"/>
          <w:i w:val="0"/>
          <w:caps w:val="0"/>
          <w:color w:val="333333"/>
          <w:spacing w:val="0"/>
          <w:sz w:val="27"/>
          <w:szCs w:val="27"/>
          <w:shd w:val="clear" w:color="auto" w:fill="FFFFFF"/>
        </w:rPr>
        <w:t>　</w:t>
      </w:r>
      <w:r>
        <w:rPr>
          <w:rFonts w:hint="eastAsia" w:ascii="宋体" w:hAnsi="宋体" w:eastAsia="宋体" w:cs="宋体"/>
          <w:i w:val="0"/>
          <w:caps w:val="0"/>
          <w:color w:val="333333"/>
          <w:spacing w:val="0"/>
          <w:sz w:val="27"/>
          <w:szCs w:val="27"/>
          <w:shd w:val="clear" w:color="auto" w:fill="FFFFFF"/>
        </w:rPr>
        <w:t>　为促进全国中小企业股份转让系统（以下简称</w:t>
      </w:r>
      <w:r>
        <w:rPr>
          <w:rFonts w:hint="eastAsia" w:ascii="宋体" w:hAnsi="宋体" w:eastAsia="宋体" w:cs="宋体"/>
          <w:b/>
          <w:bCs/>
          <w:i w:val="0"/>
          <w:caps w:val="0"/>
          <w:color w:val="333333"/>
          <w:spacing w:val="0"/>
          <w:sz w:val="27"/>
          <w:szCs w:val="27"/>
          <w:highlight w:val="cyan"/>
          <w:shd w:val="clear" w:color="auto" w:fill="FFFFFF"/>
        </w:rPr>
        <w:t>新三板</w:t>
      </w:r>
      <w:r>
        <w:rPr>
          <w:rFonts w:hint="eastAsia" w:ascii="宋体" w:hAnsi="宋体" w:eastAsia="宋体" w:cs="宋体"/>
          <w:i w:val="0"/>
          <w:caps w:val="0"/>
          <w:color w:val="333333"/>
          <w:spacing w:val="0"/>
          <w:sz w:val="27"/>
          <w:szCs w:val="27"/>
          <w:shd w:val="clear" w:color="auto" w:fill="FFFFFF"/>
        </w:rPr>
        <w:t>）长期稳定发展，现就个人转让新三板挂牌公司股票有关个人所得税政策通知如下：</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方正大黑简体" w:hAnsi="方正大黑简体" w:eastAsia="方正大黑简体" w:cs="方正大黑简体"/>
          <w:sz w:val="28"/>
          <w:szCs w:val="28"/>
        </w:rPr>
      </w:pPr>
      <w:r>
        <w:rPr>
          <w:rFonts w:hint="eastAsia" w:ascii="微软雅黑" w:hAnsi="微软雅黑" w:eastAsia="微软雅黑" w:cs="微软雅黑"/>
          <w:i w:val="0"/>
          <w:caps w:val="0"/>
          <w:color w:val="333333"/>
          <w:spacing w:val="0"/>
          <w:sz w:val="27"/>
          <w:szCs w:val="27"/>
          <w:shd w:val="clear" w:color="auto" w:fill="FFFFFF"/>
        </w:rPr>
        <w:t>　　</w:t>
      </w:r>
      <w:r>
        <w:rPr>
          <w:rFonts w:hint="eastAsia" w:ascii="方正大黑简体" w:hAnsi="方正大黑简体" w:eastAsia="方正大黑简体" w:cs="方正大黑简体"/>
          <w:i w:val="0"/>
          <w:caps w:val="0"/>
          <w:color w:val="333333"/>
          <w:spacing w:val="0"/>
          <w:sz w:val="28"/>
          <w:szCs w:val="28"/>
          <w:shd w:val="clear" w:color="auto" w:fill="FFFFFF"/>
        </w:rPr>
        <w:t>一、</w:t>
      </w:r>
      <w:r>
        <w:rPr>
          <w:rFonts w:hint="eastAsia" w:ascii="方正大黑简体" w:hAnsi="方正大黑简体" w:eastAsia="方正大黑简体" w:cs="方正大黑简体"/>
          <w:i w:val="0"/>
          <w:caps w:val="0"/>
          <w:color w:val="333333"/>
          <w:spacing w:val="0"/>
          <w:sz w:val="28"/>
          <w:szCs w:val="28"/>
          <w:highlight w:val="cyan"/>
          <w:shd w:val="clear" w:color="auto" w:fill="FFFFFF"/>
        </w:rPr>
        <w:t>自2018年11月1日（含）起</w:t>
      </w:r>
      <w:r>
        <w:rPr>
          <w:rFonts w:hint="eastAsia" w:ascii="方正大黑简体" w:hAnsi="方正大黑简体" w:eastAsia="方正大黑简体" w:cs="方正大黑简体"/>
          <w:i w:val="0"/>
          <w:caps w:val="0"/>
          <w:color w:val="333333"/>
          <w:spacing w:val="0"/>
          <w:sz w:val="28"/>
          <w:szCs w:val="28"/>
          <w:shd w:val="clear" w:color="auto" w:fill="FFFFFF"/>
        </w:rPr>
        <w:t>，对个人转让新三板挂牌公司</w:t>
      </w:r>
      <w:r>
        <w:rPr>
          <w:rFonts w:hint="eastAsia" w:ascii="方正大黑简体" w:hAnsi="方正大黑简体" w:eastAsia="方正大黑简体" w:cs="方正大黑简体"/>
          <w:i w:val="0"/>
          <w:caps w:val="0"/>
          <w:color w:val="FF0000"/>
          <w:spacing w:val="0"/>
          <w:sz w:val="28"/>
          <w:szCs w:val="28"/>
          <w:highlight w:val="yellow"/>
          <w:shd w:val="clear" w:color="auto" w:fill="FFFFFF"/>
        </w:rPr>
        <w:t>非原始股</w:t>
      </w:r>
      <w:r>
        <w:rPr>
          <w:rFonts w:hint="eastAsia" w:ascii="方正大黑简体" w:hAnsi="方正大黑简体" w:eastAsia="方正大黑简体" w:cs="方正大黑简体"/>
          <w:i w:val="0"/>
          <w:caps w:val="0"/>
          <w:color w:val="333333"/>
          <w:spacing w:val="0"/>
          <w:sz w:val="28"/>
          <w:szCs w:val="28"/>
          <w:shd w:val="clear" w:color="auto" w:fill="FFFFFF"/>
        </w:rPr>
        <w:t>取得的所得，</w:t>
      </w:r>
      <w:r>
        <w:rPr>
          <w:rFonts w:hint="eastAsia" w:ascii="方正大黑简体" w:hAnsi="方正大黑简体" w:eastAsia="方正大黑简体" w:cs="方正大黑简体"/>
          <w:i w:val="0"/>
          <w:caps w:val="0"/>
          <w:color w:val="FF0000"/>
          <w:spacing w:val="0"/>
          <w:sz w:val="28"/>
          <w:szCs w:val="28"/>
          <w:shd w:val="clear" w:color="auto" w:fill="FFFFFF"/>
        </w:rPr>
        <w:t>暂免征收</w:t>
      </w:r>
      <w:r>
        <w:rPr>
          <w:rFonts w:hint="eastAsia" w:ascii="方正大黑简体" w:hAnsi="方正大黑简体" w:eastAsia="方正大黑简体" w:cs="方正大黑简体"/>
          <w:i w:val="0"/>
          <w:caps w:val="0"/>
          <w:color w:val="333333"/>
          <w:spacing w:val="0"/>
          <w:sz w:val="28"/>
          <w:szCs w:val="28"/>
          <w:shd w:val="clear" w:color="auto" w:fill="FFFFFF"/>
        </w:rPr>
        <w:t>个人所得税。</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宋体" w:hAnsi="宋体" w:eastAsia="宋体" w:cs="宋体"/>
          <w:sz w:val="27"/>
          <w:szCs w:val="27"/>
        </w:rPr>
      </w:pPr>
      <w:r>
        <w:rPr>
          <w:rFonts w:hint="eastAsia" w:ascii="微软雅黑" w:hAnsi="微软雅黑" w:eastAsia="微软雅黑" w:cs="微软雅黑"/>
          <w:i w:val="0"/>
          <w:caps w:val="0"/>
          <w:color w:val="333333"/>
          <w:spacing w:val="0"/>
          <w:sz w:val="27"/>
          <w:szCs w:val="27"/>
          <w:shd w:val="clear" w:color="auto" w:fill="FFFFFF"/>
        </w:rPr>
        <w:t>　　</w:t>
      </w:r>
      <w:r>
        <w:rPr>
          <w:rFonts w:hint="eastAsia" w:ascii="宋体" w:hAnsi="宋体" w:eastAsia="宋体" w:cs="宋体"/>
          <w:i w:val="0"/>
          <w:caps w:val="0"/>
          <w:color w:val="333333"/>
          <w:spacing w:val="0"/>
          <w:sz w:val="27"/>
          <w:szCs w:val="27"/>
          <w:shd w:val="clear" w:color="auto" w:fill="FFFFFF"/>
        </w:rPr>
        <w:t>本通知所称非原始股是指个人在新三板挂牌公司挂牌后取得的股票，以及由上述股票孳生的送、转股。</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方正小标宋_GBK" w:hAnsi="方正小标宋_GBK" w:eastAsia="方正小标宋_GBK" w:cs="方正小标宋_GBK"/>
          <w:b/>
          <w:bCs/>
          <w:sz w:val="28"/>
          <w:szCs w:val="28"/>
        </w:rPr>
      </w:pPr>
      <w:r>
        <w:rPr>
          <w:rFonts w:hint="eastAsia" w:ascii="微软雅黑" w:hAnsi="微软雅黑" w:eastAsia="微软雅黑" w:cs="微软雅黑"/>
          <w:i w:val="0"/>
          <w:caps w:val="0"/>
          <w:color w:val="333333"/>
          <w:spacing w:val="0"/>
          <w:sz w:val="27"/>
          <w:szCs w:val="27"/>
          <w:shd w:val="clear" w:color="auto" w:fill="FFFFFF"/>
        </w:rPr>
        <w:t>　</w:t>
      </w:r>
      <w:r>
        <w:rPr>
          <w:rFonts w:hint="eastAsia" w:ascii="方正小标宋_GBK" w:hAnsi="方正小标宋_GBK" w:eastAsia="方正小标宋_GBK" w:cs="方正小标宋_GBK"/>
          <w:b/>
          <w:bCs/>
          <w:i w:val="0"/>
          <w:caps w:val="0"/>
          <w:color w:val="333333"/>
          <w:spacing w:val="0"/>
          <w:sz w:val="28"/>
          <w:szCs w:val="28"/>
          <w:shd w:val="clear" w:color="auto" w:fill="FFFFFF"/>
        </w:rPr>
        <w:t>　二、对个人转让新三板挂牌公司</w:t>
      </w:r>
      <w:r>
        <w:rPr>
          <w:rFonts w:hint="eastAsia" w:ascii="方正小标宋_GBK" w:hAnsi="方正小标宋_GBK" w:eastAsia="方正小标宋_GBK" w:cs="方正小标宋_GBK"/>
          <w:b/>
          <w:bCs/>
          <w:i w:val="0"/>
          <w:caps w:val="0"/>
          <w:color w:val="FF0000"/>
          <w:spacing w:val="0"/>
          <w:sz w:val="28"/>
          <w:szCs w:val="28"/>
          <w:highlight w:val="yellow"/>
          <w:shd w:val="clear" w:color="auto" w:fill="FFFFFF"/>
        </w:rPr>
        <w:t>原始股</w:t>
      </w:r>
      <w:r>
        <w:rPr>
          <w:rFonts w:hint="eastAsia" w:ascii="方正小标宋_GBK" w:hAnsi="方正小标宋_GBK" w:eastAsia="方正小标宋_GBK" w:cs="方正小标宋_GBK"/>
          <w:b/>
          <w:bCs/>
          <w:i w:val="0"/>
          <w:caps w:val="0"/>
          <w:color w:val="333333"/>
          <w:spacing w:val="0"/>
          <w:sz w:val="28"/>
          <w:szCs w:val="28"/>
          <w:shd w:val="clear" w:color="auto" w:fill="FFFFFF"/>
        </w:rPr>
        <w:t>取得的所得，按照“</w:t>
      </w:r>
      <w:r>
        <w:rPr>
          <w:rFonts w:hint="eastAsia" w:ascii="方正小标宋_GBK" w:hAnsi="方正小标宋_GBK" w:eastAsia="方正小标宋_GBK" w:cs="方正小标宋_GBK"/>
          <w:b/>
          <w:bCs/>
          <w:i w:val="0"/>
          <w:caps w:val="0"/>
          <w:color w:val="FF0000"/>
          <w:spacing w:val="0"/>
          <w:sz w:val="28"/>
          <w:szCs w:val="28"/>
          <w:shd w:val="clear" w:color="auto" w:fill="FFFFFF"/>
        </w:rPr>
        <w:t>财产转让所得</w:t>
      </w:r>
      <w:r>
        <w:rPr>
          <w:rFonts w:hint="eastAsia" w:ascii="方正小标宋_GBK" w:hAnsi="方正小标宋_GBK" w:eastAsia="方正小标宋_GBK" w:cs="方正小标宋_GBK"/>
          <w:b/>
          <w:bCs/>
          <w:i w:val="0"/>
          <w:caps w:val="0"/>
          <w:color w:val="333333"/>
          <w:spacing w:val="0"/>
          <w:sz w:val="28"/>
          <w:szCs w:val="28"/>
          <w:shd w:val="clear" w:color="auto" w:fill="FFFFFF"/>
        </w:rPr>
        <w:t>”，适用</w:t>
      </w:r>
      <w:r>
        <w:rPr>
          <w:rFonts w:hint="eastAsia" w:ascii="方正小标宋_GBK" w:hAnsi="方正小标宋_GBK" w:eastAsia="方正小标宋_GBK" w:cs="方正小标宋_GBK"/>
          <w:b/>
          <w:bCs/>
          <w:i w:val="0"/>
          <w:caps w:val="0"/>
          <w:color w:val="FF0000"/>
          <w:spacing w:val="0"/>
          <w:sz w:val="28"/>
          <w:szCs w:val="28"/>
          <w:shd w:val="clear" w:color="auto" w:fill="FFFFFF"/>
        </w:rPr>
        <w:t>20%的比例税率</w:t>
      </w:r>
      <w:r>
        <w:rPr>
          <w:rFonts w:hint="eastAsia" w:ascii="方正小标宋_GBK" w:hAnsi="方正小标宋_GBK" w:eastAsia="方正小标宋_GBK" w:cs="方正小标宋_GBK"/>
          <w:b/>
          <w:bCs/>
          <w:i w:val="0"/>
          <w:caps w:val="0"/>
          <w:color w:val="333333"/>
          <w:spacing w:val="0"/>
          <w:sz w:val="28"/>
          <w:szCs w:val="28"/>
          <w:shd w:val="clear" w:color="auto" w:fill="FFFFFF"/>
        </w:rPr>
        <w:t>征收个人所得税。</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宋体" w:hAnsi="宋体" w:eastAsia="宋体" w:cs="宋体"/>
          <w:sz w:val="27"/>
          <w:szCs w:val="27"/>
        </w:rPr>
      </w:pPr>
      <w:r>
        <w:rPr>
          <w:rFonts w:hint="eastAsia" w:ascii="微软雅黑" w:hAnsi="微软雅黑" w:eastAsia="微软雅黑" w:cs="微软雅黑"/>
          <w:i w:val="0"/>
          <w:caps w:val="0"/>
          <w:color w:val="333333"/>
          <w:spacing w:val="0"/>
          <w:sz w:val="27"/>
          <w:szCs w:val="27"/>
          <w:shd w:val="clear" w:color="auto" w:fill="FFFFFF"/>
        </w:rPr>
        <w:t>　</w:t>
      </w:r>
      <w:r>
        <w:rPr>
          <w:rFonts w:hint="eastAsia" w:ascii="宋体" w:hAnsi="宋体" w:eastAsia="宋体" w:cs="宋体"/>
          <w:i w:val="0"/>
          <w:caps w:val="0"/>
          <w:color w:val="333333"/>
          <w:spacing w:val="0"/>
          <w:sz w:val="27"/>
          <w:szCs w:val="27"/>
          <w:shd w:val="clear" w:color="auto" w:fill="FFFFFF"/>
        </w:rPr>
        <w:t>　本通知所称原始股是指个人在新三板挂牌公司挂牌前取得的股票，以及在该公司挂牌前和挂牌后由上述股票孳生的送、转股。</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宋体" w:hAnsi="宋体" w:eastAsia="宋体" w:cs="宋体"/>
          <w:sz w:val="27"/>
          <w:szCs w:val="27"/>
        </w:rPr>
      </w:pPr>
      <w:r>
        <w:rPr>
          <w:rFonts w:hint="eastAsia" w:ascii="宋体" w:hAnsi="宋体" w:eastAsia="宋体" w:cs="宋体"/>
          <w:i w:val="0"/>
          <w:caps w:val="0"/>
          <w:color w:val="333333"/>
          <w:spacing w:val="0"/>
          <w:sz w:val="27"/>
          <w:szCs w:val="27"/>
          <w:shd w:val="clear" w:color="auto" w:fill="FFFFFF"/>
        </w:rPr>
        <w:t>　　三、2019年9月1日之前，个人转让新三板挂牌公司原始股的个人所得税，征收管理办法按照现行股权转让所得有关规定执行，以股票受让方为扣缴义务人，由被投资企业所在地税务机关负责征收管理。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宋体" w:hAnsi="宋体" w:eastAsia="宋体" w:cs="宋体"/>
          <w:sz w:val="27"/>
          <w:szCs w:val="27"/>
        </w:rPr>
      </w:pPr>
      <w:r>
        <w:rPr>
          <w:rFonts w:hint="eastAsia" w:ascii="微软雅黑" w:hAnsi="微软雅黑" w:eastAsia="微软雅黑" w:cs="微软雅黑"/>
          <w:i w:val="0"/>
          <w:caps w:val="0"/>
          <w:color w:val="333333"/>
          <w:spacing w:val="0"/>
          <w:sz w:val="27"/>
          <w:szCs w:val="27"/>
          <w:shd w:val="clear" w:color="auto" w:fill="FFFFFF"/>
        </w:rPr>
        <w:t>　　</w:t>
      </w:r>
      <w:r>
        <w:rPr>
          <w:rFonts w:hint="eastAsia" w:ascii="宋体" w:hAnsi="宋体" w:eastAsia="宋体" w:cs="宋体"/>
          <w:i w:val="0"/>
          <w:caps w:val="0"/>
          <w:color w:val="333333"/>
          <w:spacing w:val="0"/>
          <w:sz w:val="27"/>
          <w:szCs w:val="27"/>
          <w:highlight w:val="cyan"/>
          <w:shd w:val="clear" w:color="auto" w:fill="FFFFFF"/>
        </w:rPr>
        <w:t>自2019年9月1日（含）起，个人转让新三板挂牌公司原始股的个人所得税，以</w:t>
      </w:r>
      <w:r>
        <w:rPr>
          <w:rFonts w:hint="eastAsia" w:ascii="宋体" w:hAnsi="宋体" w:eastAsia="宋体" w:cs="宋体"/>
          <w:b/>
          <w:bCs/>
          <w:i w:val="0"/>
          <w:caps w:val="0"/>
          <w:color w:val="333333"/>
          <w:spacing w:val="0"/>
          <w:sz w:val="27"/>
          <w:szCs w:val="27"/>
          <w:highlight w:val="cyan"/>
          <w:shd w:val="clear" w:color="auto" w:fill="FFFFFF"/>
        </w:rPr>
        <w:t>股票托管的证券机构</w:t>
      </w:r>
      <w:r>
        <w:rPr>
          <w:rFonts w:hint="eastAsia" w:ascii="宋体" w:hAnsi="宋体" w:eastAsia="宋体" w:cs="宋体"/>
          <w:i w:val="0"/>
          <w:caps w:val="0"/>
          <w:color w:val="333333"/>
          <w:spacing w:val="0"/>
          <w:sz w:val="27"/>
          <w:szCs w:val="27"/>
          <w:highlight w:val="cyan"/>
          <w:shd w:val="clear" w:color="auto" w:fill="FFFFFF"/>
        </w:rPr>
        <w:t>为扣缴义务人，由股票托管的证券机构所在地主管税务机关负责征收管理。</w:t>
      </w:r>
      <w:r>
        <w:rPr>
          <w:rFonts w:hint="eastAsia" w:ascii="宋体" w:hAnsi="宋体" w:eastAsia="宋体" w:cs="宋体"/>
          <w:i w:val="0"/>
          <w:caps w:val="0"/>
          <w:color w:val="333333"/>
          <w:spacing w:val="0"/>
          <w:sz w:val="27"/>
          <w:szCs w:val="27"/>
          <w:shd w:val="clear" w:color="auto" w:fill="FFFFFF"/>
        </w:rPr>
        <w:t>具体征收管理办法参照《财政部 国家税务总局 证监会关于个人转让上市公司限售股所得征收个人所得税有关问题的通知》（财税〔2009〕167号）和《财政部 国家税务总局 证监会关于个人转让上市公司限售股所得征收个人所得税有关问题的补充通知》（财税〔2010〕70号）有关规定执行。</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宋体" w:hAnsi="宋体" w:eastAsia="宋体" w:cs="宋体"/>
          <w:sz w:val="27"/>
          <w:szCs w:val="27"/>
        </w:rPr>
      </w:pPr>
      <w:r>
        <w:rPr>
          <w:rFonts w:hint="eastAsia" w:ascii="宋体" w:hAnsi="宋体" w:eastAsia="宋体" w:cs="宋体"/>
          <w:i w:val="0"/>
          <w:caps w:val="0"/>
          <w:color w:val="333333"/>
          <w:spacing w:val="0"/>
          <w:sz w:val="27"/>
          <w:szCs w:val="27"/>
          <w:shd w:val="clear" w:color="auto" w:fill="FFFFFF"/>
        </w:rPr>
        <w:t>　　四、2018年11月1日之前，个人转让新三板挂牌公司非原始股，尚未进行税收处理的，可比照本通知第一条规定执行，已经进行相关税收处理的，不再进行税收调整。</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rPr>
          <w:rFonts w:hint="eastAsia" w:ascii="宋体" w:hAnsi="宋体" w:eastAsia="宋体" w:cs="宋体"/>
          <w:i w:val="0"/>
          <w:caps w:val="0"/>
          <w:color w:val="333333"/>
          <w:spacing w:val="0"/>
          <w:sz w:val="27"/>
          <w:szCs w:val="27"/>
          <w:shd w:val="clear" w:color="auto" w:fill="FFFFFF"/>
        </w:rPr>
      </w:pPr>
      <w:r>
        <w:rPr>
          <w:rFonts w:hint="eastAsia" w:ascii="宋体" w:hAnsi="宋体" w:eastAsia="宋体" w:cs="宋体"/>
          <w:i w:val="0"/>
          <w:caps w:val="0"/>
          <w:color w:val="333333"/>
          <w:spacing w:val="0"/>
          <w:sz w:val="27"/>
          <w:szCs w:val="27"/>
          <w:shd w:val="clear" w:color="auto" w:fill="FFFFFF"/>
        </w:rPr>
        <w:t>　　五、</w:t>
      </w:r>
      <w:r>
        <w:rPr>
          <w:rFonts w:hint="eastAsia" w:ascii="宋体" w:hAnsi="宋体" w:eastAsia="宋体" w:cs="宋体"/>
          <w:b/>
          <w:bCs/>
          <w:i w:val="0"/>
          <w:caps w:val="0"/>
          <w:color w:val="333333"/>
          <w:spacing w:val="0"/>
          <w:sz w:val="27"/>
          <w:szCs w:val="27"/>
          <w:shd w:val="clear" w:color="auto" w:fill="FFFFFF"/>
        </w:rPr>
        <w:t>中国证券登记结算公司应当在登记结算系统内明确区分新三板原始股和非原始股。</w:t>
      </w:r>
      <w:r>
        <w:rPr>
          <w:rFonts w:hint="eastAsia" w:ascii="宋体" w:hAnsi="宋体" w:eastAsia="宋体" w:cs="宋体"/>
          <w:i w:val="0"/>
          <w:caps w:val="0"/>
          <w:color w:val="333333"/>
          <w:spacing w:val="0"/>
          <w:sz w:val="27"/>
          <w:szCs w:val="27"/>
          <w:shd w:val="clear" w:color="auto" w:fill="FFFFFF"/>
        </w:rPr>
        <w:t>中国证券登记结算公司、证券公司及其分支机构应当积极配合财政、税务部门做好相关工作。</w:t>
      </w: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jc w:val="right"/>
        <w:rPr>
          <w:rFonts w:hint="eastAsia" w:ascii="宋体" w:hAnsi="宋体" w:eastAsia="宋体" w:cs="宋体"/>
          <w:i w:val="0"/>
          <w:caps w:val="0"/>
          <w:color w:val="333333"/>
          <w:spacing w:val="0"/>
          <w:sz w:val="27"/>
          <w:szCs w:val="27"/>
          <w:shd w:val="clear" w:color="auto" w:fill="FFFFFF"/>
        </w:rPr>
      </w:pP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jc w:val="right"/>
        <w:rPr>
          <w:rFonts w:hint="eastAsia" w:ascii="宋体" w:hAnsi="宋体" w:eastAsia="宋体" w:cs="宋体"/>
          <w:i w:val="0"/>
          <w:caps w:val="0"/>
          <w:color w:val="333333"/>
          <w:spacing w:val="0"/>
          <w:sz w:val="27"/>
          <w:szCs w:val="27"/>
          <w:shd w:val="clear" w:color="auto" w:fill="FFFFFF"/>
        </w:rPr>
      </w:pPr>
    </w:p>
    <w:p>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00" w:lineRule="atLeast"/>
        <w:ind w:left="0" w:right="0"/>
        <w:jc w:val="right"/>
        <w:rPr>
          <w:rFonts w:hint="eastAsia" w:ascii="宋体" w:hAnsi="宋体" w:eastAsia="宋体" w:cs="宋体"/>
          <w:i w:val="0"/>
          <w:caps w:val="0"/>
          <w:color w:val="333333"/>
          <w:spacing w:val="0"/>
          <w:sz w:val="27"/>
          <w:szCs w:val="27"/>
          <w:shd w:val="clear" w:color="auto" w:fill="FFFFFF"/>
        </w:rPr>
      </w:pPr>
    </w:p>
    <w:p>
      <w:pPr>
        <w:spacing w:line="540" w:lineRule="atLeast"/>
        <w:jc w:val="center"/>
        <w:rPr>
          <w:rFonts w:hint="eastAsia" w:ascii="方正小标宋简体" w:hAnsi="方正小标宋简体" w:eastAsia="方正小标宋简体" w:cs="方正小标宋简体"/>
          <w:b/>
          <w:bCs/>
          <w:color w:val="454545"/>
          <w:sz w:val="36"/>
          <w:szCs w:val="36"/>
          <w:lang w:eastAsia="zh-CN"/>
        </w:rPr>
      </w:pPr>
      <w:r>
        <w:rPr>
          <w:rFonts w:hint="eastAsia" w:ascii="方正小标宋简体" w:hAnsi="方正小标宋简体" w:eastAsia="方正小标宋简体" w:cs="方正小标宋简体"/>
          <w:b/>
          <w:bCs/>
          <w:color w:val="454545"/>
          <w:sz w:val="36"/>
          <w:szCs w:val="36"/>
          <w:lang w:eastAsia="zh-CN"/>
        </w:rPr>
        <w:t>国家税务总局</w:t>
      </w:r>
    </w:p>
    <w:p>
      <w:pPr>
        <w:spacing w:line="540" w:lineRule="atLeast"/>
        <w:jc w:val="center"/>
        <w:rPr>
          <w:rFonts w:hint="eastAsia" w:ascii="方正小标宋简体" w:hAnsi="方正小标宋简体" w:eastAsia="方正小标宋简体" w:cs="方正小标宋简体"/>
          <w:b/>
          <w:bCs/>
          <w:color w:val="454545"/>
          <w:sz w:val="36"/>
          <w:szCs w:val="36"/>
        </w:rPr>
      </w:pPr>
      <w:r>
        <w:rPr>
          <w:rFonts w:hint="eastAsia" w:ascii="方正小标宋简体" w:hAnsi="方正小标宋简体" w:eastAsia="方正小标宋简体" w:cs="方正小标宋简体"/>
          <w:b/>
          <w:bCs/>
          <w:color w:val="454545"/>
          <w:sz w:val="36"/>
          <w:szCs w:val="36"/>
        </w:rPr>
        <w:t>关于做好限售股转让所得个人所得税</w:t>
      </w:r>
    </w:p>
    <w:p>
      <w:pPr>
        <w:spacing w:line="540" w:lineRule="atLeast"/>
        <w:jc w:val="center"/>
        <w:rPr>
          <w:rFonts w:hint="eastAsia" w:ascii="方正小标宋简体" w:hAnsi="方正小标宋简体" w:eastAsia="方正小标宋简体" w:cs="方正小标宋简体"/>
          <w:b/>
          <w:bCs/>
          <w:color w:val="454545"/>
          <w:sz w:val="36"/>
          <w:szCs w:val="36"/>
        </w:rPr>
      </w:pPr>
      <w:r>
        <w:rPr>
          <w:rFonts w:hint="eastAsia" w:ascii="方正小标宋简体" w:hAnsi="方正小标宋简体" w:eastAsia="方正小标宋简体" w:cs="方正小标宋简体"/>
          <w:b/>
          <w:bCs/>
          <w:color w:val="454545"/>
          <w:sz w:val="36"/>
          <w:szCs w:val="36"/>
        </w:rPr>
        <w:t>征收管理工作的通知</w:t>
      </w:r>
    </w:p>
    <w:p>
      <w:pPr>
        <w:spacing w:line="540" w:lineRule="atLeast"/>
        <w:jc w:val="center"/>
        <w:rPr>
          <w:rFonts w:hint="eastAsia" w:ascii="黑体" w:hAnsi="黑体" w:eastAsia="黑体" w:cs="黑体"/>
          <w:b/>
          <w:bCs/>
          <w:color w:val="000000" w:themeColor="text1"/>
          <w:kern w:val="0"/>
          <w:sz w:val="24"/>
          <w:szCs w:val="24"/>
          <w:lang w:val="en-US" w:eastAsia="zh-CN"/>
          <w14:textFill>
            <w14:solidFill>
              <w14:schemeClr w14:val="tx1"/>
            </w14:solidFill>
          </w14:textFill>
        </w:rPr>
      </w:pPr>
      <w:r>
        <w:rPr>
          <w:rFonts w:hint="eastAsia" w:ascii="黑体" w:hAnsi="黑体" w:eastAsia="黑体" w:cs="黑体"/>
          <w:b/>
          <w:bCs/>
          <w:color w:val="DF0000"/>
          <w:kern w:val="0"/>
          <w:sz w:val="24"/>
          <w:szCs w:val="24"/>
        </w:rPr>
        <w:t>国税发〔2010〕8号 </w:t>
      </w:r>
      <w:r>
        <w:rPr>
          <w:rFonts w:hint="eastAsia" w:ascii="黑体" w:hAnsi="黑体" w:eastAsia="黑体" w:cs="黑体"/>
          <w:b/>
          <w:bCs/>
          <w:color w:val="DF0000"/>
          <w:kern w:val="0"/>
          <w:sz w:val="24"/>
          <w:szCs w:val="24"/>
          <w:lang w:val="en-US" w:eastAsia="zh-CN"/>
        </w:rPr>
        <w:t xml:space="preserve"> </w:t>
      </w:r>
      <w:r>
        <w:rPr>
          <w:rFonts w:hint="eastAsia" w:ascii="黑体" w:hAnsi="黑体" w:eastAsia="黑体" w:cs="黑体"/>
          <w:b/>
          <w:bCs/>
          <w:color w:val="000000" w:themeColor="text1"/>
          <w:kern w:val="0"/>
          <w:sz w:val="24"/>
          <w:szCs w:val="24"/>
          <w:lang w:val="en-US" w:eastAsia="zh-CN"/>
          <w14:textFill>
            <w14:solidFill>
              <w14:schemeClr w14:val="tx1"/>
            </w14:solidFill>
          </w14:textFill>
        </w:rPr>
        <w:t xml:space="preserve">  2010年1月15日</w:t>
      </w:r>
    </w:p>
    <w:p>
      <w:pPr>
        <w:spacing w:line="540" w:lineRule="atLeast"/>
        <w:jc w:val="center"/>
        <w:rPr>
          <w:rFonts w:hint="default" w:ascii="黑体" w:hAnsi="黑体" w:eastAsia="黑体" w:cs="黑体"/>
          <w:b/>
          <w:bCs/>
          <w:color w:val="000000" w:themeColor="text1"/>
          <w:kern w:val="0"/>
          <w:sz w:val="24"/>
          <w:szCs w:val="24"/>
          <w:lang w:val="en-US" w:eastAsia="zh-CN"/>
          <w14:textFill>
            <w14:solidFill>
              <w14:schemeClr w14:val="tx1"/>
            </w14:solidFill>
          </w14:textFill>
        </w:rPr>
      </w:pPr>
    </w:p>
    <w:p>
      <w:pPr>
        <w:widowControl/>
        <w:spacing w:line="540" w:lineRule="atLeas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经国务院批准，自2010年1月1日起对个人转让上市公司限售股所得征收个人所得税。按照《财政部 国家税务总局 证监会关于个人转让上市公司限售股所得征收个人所得税有关问题的通知》（财税[2009]167号）规定，为做好限售股转让所得个人所得税的征收管理工作，现将有关事项通知如下：</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黑体" w:hAnsi="黑体" w:eastAsia="黑体" w:cs="黑体"/>
          <w:color w:val="000000"/>
          <w:kern w:val="0"/>
          <w:sz w:val="24"/>
          <w:szCs w:val="24"/>
        </w:rPr>
        <w:t>一、征管操作规定</w:t>
      </w:r>
      <w:r>
        <w:rPr>
          <w:rFonts w:hint="eastAsia" w:ascii="黑体" w:hAnsi="黑体" w:eastAsia="黑体" w:cs="黑体"/>
          <w:color w:val="000000"/>
          <w:kern w:val="0"/>
          <w:sz w:val="24"/>
          <w:szCs w:val="24"/>
        </w:rPr>
        <w:br w:type="textWrapping"/>
      </w:r>
      <w:r>
        <w:rPr>
          <w:rFonts w:hint="eastAsia" w:ascii="宋体" w:hAnsi="宋体" w:eastAsia="宋体" w:cs="宋体"/>
          <w:color w:val="000000"/>
          <w:kern w:val="0"/>
          <w:sz w:val="24"/>
          <w:szCs w:val="24"/>
        </w:rPr>
        <w:t>　　根据证券机构技术和制度准备完成情况，对不同阶段形成的限售股，采取不同的征管办法。</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highlight w:val="yellow"/>
        </w:rPr>
        <w:t>（一）证券机构技术和制度准备</w:t>
      </w:r>
      <w:r>
        <w:rPr>
          <w:rFonts w:hint="eastAsia" w:ascii="宋体" w:hAnsi="宋体" w:eastAsia="宋体" w:cs="宋体"/>
          <w:b/>
          <w:bCs/>
          <w:color w:val="000000"/>
          <w:kern w:val="0"/>
          <w:sz w:val="24"/>
          <w:szCs w:val="24"/>
          <w:highlight w:val="yellow"/>
        </w:rPr>
        <w:t>完成前</w:t>
      </w:r>
      <w:r>
        <w:rPr>
          <w:rFonts w:hint="eastAsia" w:ascii="宋体" w:hAnsi="宋体" w:eastAsia="宋体" w:cs="宋体"/>
          <w:color w:val="000000"/>
          <w:kern w:val="0"/>
          <w:sz w:val="24"/>
          <w:szCs w:val="24"/>
          <w:highlight w:val="yellow"/>
        </w:rPr>
        <w:t>形成的限售股，其转让所得应缴纳的个人所得税，采取</w:t>
      </w:r>
      <w:r>
        <w:rPr>
          <w:rFonts w:hint="eastAsia" w:ascii="宋体" w:hAnsi="宋体" w:eastAsia="宋体" w:cs="宋体"/>
          <w:b/>
          <w:bCs/>
          <w:color w:val="FF0000"/>
          <w:kern w:val="0"/>
          <w:sz w:val="24"/>
          <w:szCs w:val="24"/>
          <w:highlight w:val="yellow"/>
        </w:rPr>
        <w:t>证券机构预扣预缴和纳税人自行申报清算相结合</w:t>
      </w:r>
      <w:r>
        <w:rPr>
          <w:rFonts w:hint="eastAsia" w:ascii="宋体" w:hAnsi="宋体" w:eastAsia="宋体" w:cs="宋体"/>
          <w:color w:val="000000"/>
          <w:kern w:val="0"/>
          <w:sz w:val="24"/>
          <w:szCs w:val="24"/>
          <w:highlight w:val="yellow"/>
        </w:rPr>
        <w:t>的方式征收。</w:t>
      </w:r>
      <w:r>
        <w:rPr>
          <w:rFonts w:hint="eastAsia" w:ascii="宋体" w:hAnsi="宋体" w:eastAsia="宋体" w:cs="宋体"/>
          <w:color w:val="000000"/>
          <w:kern w:val="0"/>
          <w:sz w:val="24"/>
          <w:szCs w:val="24"/>
          <w:highlight w:val="yellow"/>
        </w:rPr>
        <w:br w:type="textWrapping"/>
      </w: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1．证券机构的预扣预缴申报</w:t>
      </w:r>
      <w:r>
        <w:rPr>
          <w:rFonts w:hint="eastAsia" w:ascii="宋体" w:hAnsi="宋体" w:eastAsia="宋体" w:cs="宋体"/>
          <w:b/>
          <w:bCs/>
          <w:color w:val="000000"/>
          <w:kern w:val="0"/>
          <w:sz w:val="24"/>
          <w:szCs w:val="24"/>
        </w:rPr>
        <w:br w:type="textWrapping"/>
      </w:r>
      <w:r>
        <w:rPr>
          <w:rFonts w:hint="eastAsia" w:ascii="宋体" w:hAnsi="宋体" w:eastAsia="宋体" w:cs="宋体"/>
          <w:color w:val="000000"/>
          <w:kern w:val="0"/>
          <w:sz w:val="24"/>
          <w:szCs w:val="24"/>
        </w:rPr>
        <w:t>　　纳税人转让股改限售股的，证券机构按照该股票股改复牌日收盘价计算转让收入，纳税人转让新股限售股的，证券机构按照该股票上市首日收盘价计算转让收入，并按照计算出的转让收入的15%确定限售股原值和合理税费，以转让收入减去原值和合理税费后的余额为应纳税所得额，计算并预扣个人所得税。</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证券机构应将已扣的个人所得税款，于次月7日内向主管税务机关缴纳，并报送《限售股转让所得扣缴个人所得税报告表》（见附件1）及税务机关要求报送的其他资料。《限售股转让所得扣缴个人所得税报告表》应按每个纳税人区分不同股票分别填写；同一支股票的转让所得，按当月取得的累计发生额填写。</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2．纳税人的自行申报清算</w:t>
      </w:r>
      <w:r>
        <w:rPr>
          <w:rFonts w:hint="eastAsia" w:ascii="宋体" w:hAnsi="宋体" w:eastAsia="宋体" w:cs="宋体"/>
          <w:b/>
          <w:bCs/>
          <w:color w:val="000000"/>
          <w:kern w:val="0"/>
          <w:sz w:val="24"/>
          <w:szCs w:val="24"/>
        </w:rPr>
        <w:br w:type="textWrapping"/>
      </w:r>
      <w:r>
        <w:rPr>
          <w:rFonts w:hint="eastAsia" w:ascii="宋体" w:hAnsi="宋体" w:eastAsia="宋体" w:cs="宋体"/>
          <w:color w:val="000000"/>
          <w:kern w:val="0"/>
          <w:sz w:val="24"/>
          <w:szCs w:val="24"/>
        </w:rPr>
        <w:t>　　纳税人按照实际转让收入与实际成本计算出的应纳税额，与证券机构预扣预缴税额有差异的，纳税人应自证券机构代扣并解缴税款的次月1日起3个月内，到证券机构所在地主管税务机关提出清算申请，办理清算申报事宜。纳税人在规定期限内未到主管税务机关办理清算事宜的，期限届满后税务机关不再办理。</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纳税人办理清算时，应按照收入与成本相匹配的原则计算应纳税所得额。即，限售股转让收入必须按照实际转让收入计算，限售股原值按照实际成本计算；如果纳税人未能提供完整、真实的限售股原值凭证，不能正确计算限售股原值的，主管税务机关一律按限售股实际转让收入的15%核定限售股原值及合理税费。</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纳税人办理清算时，按照当月取得的全部转让所得，填报《限售股转让所得个人所得税清算申报表》（见附件2），并出示个人有效身份证照原件，附送加盖开户证券机构印章的限售股交易明细记录、相关完整真实的财产原值凭证、缴纳税款凭证（《税务代保管资金专用收据》或《税收转账专用完税证》），以及税务机关要求报送的其他资料。</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方正行楷_GBK" w:hAnsi="方正行楷_GBK" w:eastAsia="方正行楷_GBK" w:cs="方正行楷_GBK"/>
          <w:color w:val="000000"/>
          <w:kern w:val="0"/>
          <w:sz w:val="24"/>
          <w:szCs w:val="24"/>
        </w:rPr>
        <w:t>　</w:t>
      </w:r>
      <w:r>
        <w:rPr>
          <w:rFonts w:hint="eastAsia" w:ascii="方正小标宋简体" w:hAnsi="方正小标宋简体" w:eastAsia="方正小标宋简体" w:cs="方正小标宋简体"/>
          <w:color w:val="000000"/>
          <w:kern w:val="0"/>
          <w:sz w:val="24"/>
          <w:szCs w:val="24"/>
          <w:highlight w:val="cyan"/>
        </w:rPr>
        <w:t>限售股交易明细记录</w:t>
      </w:r>
      <w:r>
        <w:rPr>
          <w:rFonts w:hint="eastAsia" w:ascii="方正小标宋简体" w:hAnsi="方正小标宋简体" w:eastAsia="方正小标宋简体" w:cs="方正小标宋简体"/>
          <w:color w:val="000000"/>
          <w:kern w:val="0"/>
          <w:sz w:val="24"/>
          <w:szCs w:val="24"/>
        </w:rPr>
        <w:t>应包括：限售股每笔</w:t>
      </w:r>
      <w:r>
        <w:rPr>
          <w:rFonts w:hint="eastAsia" w:ascii="方正小标宋简体" w:hAnsi="方正小标宋简体" w:eastAsia="方正小标宋简体" w:cs="方正小标宋简体"/>
          <w:color w:val="FF0000"/>
          <w:kern w:val="0"/>
          <w:sz w:val="24"/>
          <w:szCs w:val="24"/>
        </w:rPr>
        <w:t>成交日期、成交时间、成交价格、成交数量、成交金额、佣金、印花税、过户费、其他费</w:t>
      </w:r>
      <w:r>
        <w:rPr>
          <w:rFonts w:hint="eastAsia" w:ascii="方正小标宋简体" w:hAnsi="方正小标宋简体" w:eastAsia="方正小标宋简体" w:cs="方正小标宋简体"/>
          <w:color w:val="000000"/>
          <w:kern w:val="0"/>
          <w:sz w:val="24"/>
          <w:szCs w:val="24"/>
        </w:rPr>
        <w:t>等信息。</w:t>
      </w:r>
      <w:r>
        <w:rPr>
          <w:rFonts w:hint="eastAsia" w:ascii="方正小标宋简体" w:hAnsi="方正小标宋简体" w:eastAsia="方正小标宋简体" w:cs="方正小标宋简体"/>
          <w:color w:val="000000"/>
          <w:kern w:val="0"/>
          <w:sz w:val="24"/>
          <w:szCs w:val="24"/>
        </w:rPr>
        <w:br w:type="textWrapping"/>
      </w:r>
      <w:r>
        <w:rPr>
          <w:rFonts w:hint="eastAsia" w:ascii="宋体" w:hAnsi="宋体" w:eastAsia="宋体" w:cs="宋体"/>
          <w:color w:val="000000"/>
          <w:kern w:val="0"/>
          <w:sz w:val="24"/>
          <w:szCs w:val="24"/>
        </w:rPr>
        <w:t>　　纳税人委托中介机构或者他人代为办理纳税申报的，代理人在申报时，除提供上述资料外，还应出示代理人本人的有效身份证照原件，并附送纳税人委托代理申报的授权书。</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税务机关对纳税人申报的资料审核确认后，按照上述原则重新计算应纳税额，并办理退（补）税手续。重新计算的应纳税额，低于预扣预缴的部分，税务机关应予以退还；高于预扣预缴的部分，纳税人应补缴税款。</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highlight w:val="yellow"/>
        </w:rPr>
        <w:t>（二）证券机构技术和制度准备</w:t>
      </w:r>
      <w:r>
        <w:rPr>
          <w:rFonts w:hint="eastAsia" w:ascii="宋体" w:hAnsi="宋体" w:eastAsia="宋体" w:cs="宋体"/>
          <w:b/>
          <w:bCs/>
          <w:color w:val="000000" w:themeColor="text1"/>
          <w:kern w:val="0"/>
          <w:sz w:val="24"/>
          <w:szCs w:val="24"/>
          <w:highlight w:val="yellow"/>
          <w14:textFill>
            <w14:solidFill>
              <w14:schemeClr w14:val="tx1"/>
            </w14:solidFill>
          </w14:textFill>
        </w:rPr>
        <w:t>完成后</w:t>
      </w:r>
      <w:r>
        <w:rPr>
          <w:rFonts w:hint="eastAsia" w:ascii="宋体" w:hAnsi="宋体" w:eastAsia="宋体" w:cs="宋体"/>
          <w:color w:val="000000"/>
          <w:kern w:val="0"/>
          <w:sz w:val="24"/>
          <w:szCs w:val="24"/>
          <w:highlight w:val="yellow"/>
        </w:rPr>
        <w:t>新上市公司的限售股，纳税人在转让时应缴纳的个人所得税，采取</w:t>
      </w:r>
      <w:r>
        <w:rPr>
          <w:rFonts w:hint="eastAsia" w:ascii="宋体" w:hAnsi="宋体" w:eastAsia="宋体" w:cs="宋体"/>
          <w:b/>
          <w:bCs/>
          <w:color w:val="FF0000"/>
          <w:kern w:val="0"/>
          <w:sz w:val="24"/>
          <w:szCs w:val="24"/>
          <w:highlight w:val="yellow"/>
        </w:rPr>
        <w:t>证券机构直接代扣代缴</w:t>
      </w:r>
      <w:r>
        <w:rPr>
          <w:rFonts w:hint="eastAsia" w:ascii="宋体" w:hAnsi="宋体" w:eastAsia="宋体" w:cs="宋体"/>
          <w:color w:val="000000"/>
          <w:kern w:val="0"/>
          <w:sz w:val="24"/>
          <w:szCs w:val="24"/>
          <w:highlight w:val="yellow"/>
        </w:rPr>
        <w:t>的方式征收。</w:t>
      </w:r>
      <w:r>
        <w:rPr>
          <w:rFonts w:hint="eastAsia" w:ascii="宋体" w:hAnsi="宋体" w:eastAsia="宋体" w:cs="宋体"/>
          <w:color w:val="000000"/>
          <w:kern w:val="0"/>
          <w:sz w:val="24"/>
          <w:szCs w:val="24"/>
          <w:highlight w:val="yellow"/>
        </w:rPr>
        <w:br w:type="textWrapping"/>
      </w:r>
      <w:r>
        <w:rPr>
          <w:rFonts w:hint="eastAsia" w:ascii="宋体" w:hAnsi="宋体" w:eastAsia="宋体" w:cs="宋体"/>
          <w:color w:val="000000"/>
          <w:kern w:val="0"/>
          <w:sz w:val="24"/>
          <w:szCs w:val="24"/>
        </w:rPr>
        <w:t>　　证券机构技术和制度准备完成后，证券机构按照限售股的实际转让收入，减去事先植入结算系统的限售股成本原值、转让时发生的合理税费后的余额，计算并直接扣缴个人所得税。</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证券机构应将每月所扣个人所得税款，于次月7日内缴入国库，并向当地主管税务机关报送《限售股转让所得扣缴个人所得税报告表》及税务机关要求报送的其他资料。</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黑体" w:hAnsi="黑体" w:eastAsia="黑体" w:cs="黑体"/>
          <w:color w:val="000000"/>
          <w:kern w:val="0"/>
          <w:sz w:val="24"/>
          <w:szCs w:val="24"/>
        </w:rPr>
        <w:t>　二、各项准备工作</w:t>
      </w:r>
      <w:r>
        <w:rPr>
          <w:rFonts w:hint="eastAsia" w:ascii="黑体" w:hAnsi="黑体" w:eastAsia="黑体" w:cs="黑体"/>
          <w:color w:val="000000"/>
          <w:kern w:val="0"/>
          <w:sz w:val="24"/>
          <w:szCs w:val="24"/>
        </w:rPr>
        <w:br w:type="textWrapping"/>
      </w:r>
      <w:r>
        <w:rPr>
          <w:rFonts w:hint="eastAsia" w:ascii="宋体" w:hAnsi="宋体" w:eastAsia="宋体" w:cs="宋体"/>
          <w:color w:val="000000"/>
          <w:kern w:val="0"/>
          <w:sz w:val="24"/>
          <w:szCs w:val="24"/>
        </w:rPr>
        <w:t>　　（一）尽快完成申报表的印制及发放工作。各级税务机关应抓紧印制、发放限售股转让所得个人所得税的各类申报表。与此同时，可将各类申报表的电子版先行挂在本地税务网站的醒目位置，方便纳税人及时下载填报。</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二）严格审核申报资料。重点做好以下几个方面的审核：一是审核限售股转让所得个人所得税各类申报表内容填写是否完整，表间逻辑关系是否正确。二是审核附送资料是否齐全、是否符合要求。对纳税人清算时未提供加盖开户证券机构印章限售股交易明细记录的，或者代理人未提交纳税人委托代理申报授权书的，应要求其补齐后再予办理。三是审核附送的限售股原值及合理税费凭证所载数额、限售股交易明细记录与申报表对应栏次所填数据是否匹配，相关凭证及资料是否与财产原值直接相关。四是审核纳税人报送的《限售股转让所得个人所得税清算申报表》所填数据与证券机构报送的《限售股转让所得扣缴个人所得税报告表》中该纳税人的扣缴信息、缴纳税款凭证所载金额是否一致。</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三）尽快完善限售股转让所得征收个人所得税所涉及的相关应用软件。各地可运用信息化手段，实现对限售股转让所得个人所得税的多样化电子申报，满足纳税人的申报需求，加强税务机关后续工作的电子化管理。</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（四）建立完整、准确的台账。要按纳税人建立限售股转让所得个人所得税台账，台账内容应包括限售股</w:t>
      </w:r>
      <w:r>
        <w:rPr>
          <w:rFonts w:hint="eastAsia" w:ascii="宋体" w:hAnsi="宋体" w:eastAsia="宋体" w:cs="宋体"/>
          <w:b/>
          <w:bCs/>
          <w:color w:val="000000"/>
          <w:kern w:val="0"/>
          <w:sz w:val="24"/>
          <w:szCs w:val="24"/>
        </w:rPr>
        <w:t>个人持有者的基本信息</w:t>
      </w:r>
      <w:r>
        <w:rPr>
          <w:rFonts w:hint="eastAsia" w:ascii="宋体" w:hAnsi="宋体" w:eastAsia="宋体" w:cs="宋体"/>
          <w:color w:val="000000"/>
          <w:kern w:val="0"/>
          <w:sz w:val="24"/>
          <w:szCs w:val="24"/>
        </w:rPr>
        <w:t>（包含姓名、有效身份证照号码、有效联系地址及邮编、有效联系电话、开户证券机构名称及地址）、</w:t>
      </w:r>
      <w:r>
        <w:rPr>
          <w:rFonts w:hint="eastAsia" w:ascii="宋体" w:hAnsi="宋体" w:eastAsia="宋体" w:cs="宋体"/>
          <w:b/>
          <w:bCs/>
          <w:color w:val="000000"/>
          <w:kern w:val="0"/>
          <w:sz w:val="24"/>
          <w:szCs w:val="24"/>
        </w:rPr>
        <w:t>证券账户号、限售股股票名称及代码、限售股持有股数、解禁时间、转让时间、转让股数、转让价格、转让金额、对应股票原值、合理税费等</w:t>
      </w:r>
      <w:r>
        <w:rPr>
          <w:rFonts w:hint="eastAsia" w:ascii="宋体" w:hAnsi="宋体" w:eastAsia="宋体" w:cs="宋体"/>
          <w:color w:val="000000"/>
          <w:kern w:val="0"/>
          <w:sz w:val="24"/>
          <w:szCs w:val="24"/>
        </w:rPr>
        <w:t>。有条件的地区，可以开发应用软件，建立电子台账。</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黑体" w:hAnsi="黑体" w:eastAsia="黑体" w:cs="黑体"/>
          <w:color w:val="000000"/>
          <w:kern w:val="0"/>
          <w:sz w:val="24"/>
          <w:szCs w:val="24"/>
        </w:rPr>
        <w:t>三、工作要求</w:t>
      </w:r>
      <w:r>
        <w:rPr>
          <w:rFonts w:hint="eastAsia" w:ascii="黑体" w:hAnsi="黑体" w:eastAsia="黑体" w:cs="黑体"/>
          <w:color w:val="000000"/>
          <w:kern w:val="0"/>
          <w:sz w:val="24"/>
          <w:szCs w:val="24"/>
        </w:rPr>
        <w:br w:type="textWrapping"/>
      </w:r>
      <w:r>
        <w:rPr>
          <w:rFonts w:hint="eastAsia" w:ascii="宋体" w:hAnsi="宋体" w:eastAsia="宋体" w:cs="宋体"/>
          <w:color w:val="000000"/>
          <w:kern w:val="0"/>
          <w:sz w:val="24"/>
          <w:szCs w:val="24"/>
        </w:rPr>
        <w:t>　　（一）提高认识、加强领导，确保征管工作顺利开展</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各级税务机关要提高对限售股转让所得征收个人所得税的重要性和必要性的认识，高度重视限售股转让所得个人所得税的征收管理工作，切实加强组织领导，将这项工作做为调节收入分配、加强税收征管和优化纳税服务的重要举措，扎实有序地推进。要精心组织、周密安排，加强对政策的理解和学习、宣传和辅导，及早制订工作计划，做好各项准备工作，确保个人转让限售股征税政策不折不扣地落实。</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（二）广泛宣传、重点辅导，确保政策落到实处</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对个人限售股转让所得征收个人所得税，涉及面广、政策性强、操作复杂。各级税务机关要在配合总局宣传和加强内部学习培训的基础上，切实做好本地的政策宣传和纳税辅导工作。一方面，要广泛宣传政策意义、内容、征税范围等，取得社会各界和纳税人的理解和支持，特别加强对个人在上海证券交易所、深圳证券交易所转让从上市公司公开发行和转让市场取得的上市公司股票所得继续免征个人所得税政策的宣传。另一方面，要优化各项纳税服务措施，有针对性地开展纳税辅导。加强对辖区内的证券公司、限售股个人股东、新上市公司的个人股东，特别是转让限售股个人的纳税辅导，要充分利用办税服务厅、税务网站、12366纳税服务热线、手机短信等渠道，重点宣讲征税范围、计税方法、纳税期限、申报流程、提交资料、缴纳税款凭证取得方式、征管办法，以及相关法律责任等。帮助纳税人理解政策要义，熟知办税流程，促进其自觉遵从、按期依法申报纳税，保护纳税人的合法权益。</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（三）总结经验、完善措施，建立高效的信息反馈机制</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各级税务机关要在对限售股转让所得征税过程中逐步积累经验，完善相关征管和服务措施，并将执行中遇到的新情况、新问题及时向上级税务机关反馈，为进一步完善相关政策和征管办法提供依据。</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（四）密切配合、加强协作，形成工作合力</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各级税务机关要加强与财政、证监等相关部门的协调配合，共同做好政策的贯彻落实、宣传解释和纳税辅导工作，解决政策执行中存在的困难和问题。要帮助证券机构正确履行代扣代缴义务，协助证券机构尽快建立起信息交换机制，充分利用登记结算公司和证券公司传递的信息强化管理，确保对个人转让限售股所得征税工作的有序开展。</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（五）明确责任、严格纪律，做好相关保密工作</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限售股转让所得个人所得税的征管工作，涉及纳税人的切身利益和个人隐私，各级税务机关应按照税收征管法和《国家税务总局关于印发〈纳税人涉税保密信息管理暂行办法〉的通知》（国税发〔2008〕93号）等相关法律法规的要求，做好保密工作。申报资料要专人负责、专人保管、严格使用。税务机关在征税过程中获取的个人限售股相关信息，不得用于税收以外的其他用途。对未按规定为纳税人保密的，要严格按照税收征管法及其他相关法律法规规定，对直接负责的主管人员和其他直接责任人给予相应处分。</w:t>
      </w:r>
    </w:p>
    <w:p>
      <w:pPr>
        <w:widowControl/>
        <w:spacing w:line="540" w:lineRule="atLeast"/>
        <w:jc w:val="left"/>
        <w:rPr>
          <w:rFonts w:hint="eastAsia" w:ascii="方正魏碑简体" w:hAnsi="方正魏碑简体" w:eastAsia="方正魏碑简体" w:cs="方正魏碑简体"/>
          <w:color w:val="000000"/>
          <w:kern w:val="0"/>
          <w:sz w:val="24"/>
          <w:szCs w:val="24"/>
        </w:rPr>
      </w:pPr>
      <w:r>
        <w:rPr>
          <w:rFonts w:hint="eastAsia" w:ascii="宋体" w:hAnsi="宋体" w:eastAsia="宋体" w:cs="宋体"/>
          <w:color w:val="000000"/>
          <w:kern w:val="0"/>
          <w:sz w:val="24"/>
          <w:szCs w:val="24"/>
        </w:rPr>
        <w:t>　　附件：</w:t>
      </w:r>
      <w:r>
        <w:rPr>
          <w:rFonts w:hint="eastAsia" w:ascii="方正魏碑简体" w:hAnsi="方正魏碑简体" w:eastAsia="方正魏碑简体" w:cs="方正魏碑简体"/>
          <w:sz w:val="24"/>
          <w:szCs w:val="24"/>
        </w:rPr>
        <w:fldChar w:fldCharType="begin"/>
      </w:r>
      <w:r>
        <w:rPr>
          <w:rFonts w:hint="eastAsia" w:ascii="方正魏碑简体" w:hAnsi="方正魏碑简体" w:eastAsia="方正魏碑简体" w:cs="方正魏碑简体"/>
          <w:sz w:val="24"/>
          <w:szCs w:val="24"/>
        </w:rPr>
        <w:instrText xml:space="preserve"> HYPERLINK "http://130.9.1.168/guoshui/action/ShowAppend.do?id=5794" </w:instrText>
      </w:r>
      <w:r>
        <w:rPr>
          <w:rFonts w:hint="eastAsia" w:ascii="方正魏碑简体" w:hAnsi="方正魏碑简体" w:eastAsia="方正魏碑简体" w:cs="方正魏碑简体"/>
          <w:sz w:val="24"/>
          <w:szCs w:val="24"/>
        </w:rPr>
        <w:fldChar w:fldCharType="separate"/>
      </w:r>
      <w:r>
        <w:rPr>
          <w:rFonts w:hint="eastAsia" w:ascii="方正魏碑简体" w:hAnsi="方正魏碑简体" w:eastAsia="方正魏碑简体" w:cs="方正魏碑简体"/>
          <w:color w:val="222222"/>
          <w:kern w:val="0"/>
          <w:sz w:val="24"/>
          <w:szCs w:val="24"/>
        </w:rPr>
        <w:t>1.限售股转让所得扣缴个人所得税报告表</w:t>
      </w:r>
      <w:r>
        <w:rPr>
          <w:rFonts w:hint="eastAsia" w:ascii="方正魏碑简体" w:hAnsi="方正魏碑简体" w:eastAsia="方正魏碑简体" w:cs="方正魏碑简体"/>
          <w:color w:val="222222"/>
          <w:kern w:val="0"/>
          <w:sz w:val="24"/>
          <w:szCs w:val="24"/>
        </w:rPr>
        <w:fldChar w:fldCharType="end"/>
      </w:r>
      <w:r>
        <w:rPr>
          <w:rFonts w:hint="eastAsia" w:ascii="方正魏碑简体" w:hAnsi="方正魏碑简体" w:eastAsia="方正魏碑简体" w:cs="方正魏碑简体"/>
          <w:color w:val="000000"/>
          <w:kern w:val="0"/>
          <w:sz w:val="24"/>
          <w:szCs w:val="24"/>
        </w:rPr>
        <w:t></w:t>
      </w:r>
    </w:p>
    <w:p>
      <w:pPr>
        <w:widowControl/>
        <w:spacing w:line="540" w:lineRule="atLeast"/>
        <w:ind w:left="105" w:leftChars="50" w:firstLine="1320" w:firstLineChars="550"/>
        <w:jc w:val="left"/>
        <w:rPr>
          <w:rFonts w:hint="eastAsia" w:ascii="方正魏碑简体" w:hAnsi="方正魏碑简体" w:eastAsia="方正魏碑简体" w:cs="方正魏碑简体"/>
          <w:color w:val="000000"/>
          <w:kern w:val="0"/>
          <w:sz w:val="24"/>
          <w:szCs w:val="24"/>
        </w:rPr>
      </w:pPr>
      <w:r>
        <w:rPr>
          <w:rFonts w:hint="eastAsia" w:ascii="方正魏碑简体" w:hAnsi="方正魏碑简体" w:eastAsia="方正魏碑简体" w:cs="方正魏碑简体"/>
          <w:color w:val="000000"/>
          <w:kern w:val="0"/>
          <w:sz w:val="24"/>
          <w:szCs w:val="24"/>
        </w:rPr>
        <w:t>　</w:t>
      </w:r>
      <w:r>
        <w:rPr>
          <w:rFonts w:hint="eastAsia" w:ascii="方正魏碑简体" w:hAnsi="方正魏碑简体" w:eastAsia="方正魏碑简体" w:cs="方正魏碑简体"/>
          <w:sz w:val="24"/>
          <w:szCs w:val="24"/>
        </w:rPr>
        <w:fldChar w:fldCharType="begin"/>
      </w:r>
      <w:r>
        <w:rPr>
          <w:rFonts w:hint="eastAsia" w:ascii="方正魏碑简体" w:hAnsi="方正魏碑简体" w:eastAsia="方正魏碑简体" w:cs="方正魏碑简体"/>
          <w:sz w:val="24"/>
          <w:szCs w:val="24"/>
        </w:rPr>
        <w:instrText xml:space="preserve"> HYPERLINK "http://130.9.1.168/guoshui/action/ShowAppend.do?id=5795" </w:instrText>
      </w:r>
      <w:r>
        <w:rPr>
          <w:rFonts w:hint="eastAsia" w:ascii="方正魏碑简体" w:hAnsi="方正魏碑简体" w:eastAsia="方正魏碑简体" w:cs="方正魏碑简体"/>
          <w:sz w:val="24"/>
          <w:szCs w:val="24"/>
        </w:rPr>
        <w:fldChar w:fldCharType="separate"/>
      </w:r>
      <w:r>
        <w:rPr>
          <w:rFonts w:hint="eastAsia" w:ascii="方正魏碑简体" w:hAnsi="方正魏碑简体" w:eastAsia="方正魏碑简体" w:cs="方正魏碑简体"/>
          <w:color w:val="222222"/>
          <w:kern w:val="0"/>
          <w:sz w:val="24"/>
          <w:szCs w:val="24"/>
        </w:rPr>
        <w:t>2.限售股转让所得个人所得税清算申报表</w:t>
      </w:r>
      <w:r>
        <w:rPr>
          <w:rFonts w:hint="eastAsia" w:ascii="方正魏碑简体" w:hAnsi="方正魏碑简体" w:eastAsia="方正魏碑简体" w:cs="方正魏碑简体"/>
          <w:color w:val="222222"/>
          <w:kern w:val="0"/>
          <w:sz w:val="24"/>
          <w:szCs w:val="24"/>
        </w:rPr>
        <w:fldChar w:fldCharType="end"/>
      </w:r>
    </w:p>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 xml:space="preserve"> </w:t>
      </w:r>
    </w:p>
    <w:p>
      <w:pPr>
        <w:jc w:val="both"/>
        <w:rPr>
          <w:rFonts w:ascii="宋体" w:hAnsi="宋体" w:eastAsia="宋体" w:cs="宋体"/>
          <w:color w:val="000000"/>
          <w:kern w:val="0"/>
          <w:sz w:val="24"/>
          <w:szCs w:val="24"/>
        </w:rPr>
      </w:pPr>
    </w:p>
    <w:p>
      <w:pPr>
        <w:spacing w:line="360" w:lineRule="auto"/>
        <w:rPr>
          <w:rFonts w:ascii="宋体" w:hAnsi="宋体"/>
          <w:sz w:val="24"/>
        </w:rPr>
        <w:sectPr>
          <w:footerReference r:id="rId3" w:type="default"/>
          <w:pgSz w:w="11850" w:h="16840"/>
          <w:pgMar w:top="1758" w:right="1418" w:bottom="1758" w:left="1418" w:header="851" w:footer="992" w:gutter="0"/>
          <w:pgNumType w:start="1"/>
          <w:cols w:space="425" w:num="1"/>
          <w:docGrid w:linePitch="312" w:charSpace="0"/>
        </w:sectPr>
      </w:pPr>
    </w:p>
    <w:p>
      <w:pPr>
        <w:spacing w:line="360" w:lineRule="auto"/>
        <w:rPr>
          <w:rFonts w:hAnsi="宋体" w:cs="宋体"/>
          <w:sz w:val="10"/>
          <w:szCs w:val="10"/>
        </w:rPr>
      </w:pPr>
      <w:r>
        <w:rPr>
          <w:rFonts w:hint="eastAsia" w:ascii="宋体" w:hAnsi="宋体"/>
          <w:sz w:val="24"/>
        </w:rPr>
        <w:t xml:space="preserve">附件1:      </w:t>
      </w:r>
      <w:r>
        <w:rPr>
          <w:rFonts w:hint="eastAsia" w:ascii="华文中宋" w:hAnsi="华文中宋" w:eastAsia="华文中宋"/>
          <w:sz w:val="36"/>
          <w:szCs w:val="36"/>
        </w:rPr>
        <w:t>限售股转让所得扣缴个人所得税报告表</w:t>
      </w:r>
    </w:p>
    <w:p>
      <w:pPr>
        <w:widowControl/>
        <w:spacing w:line="0" w:lineRule="atLeast"/>
        <w:ind w:firstLine="1710" w:firstLineChars="950"/>
        <w:jc w:val="left"/>
        <w:rPr>
          <w:rFonts w:hAnsi="宋体" w:cs="宋体"/>
          <w:sz w:val="18"/>
          <w:szCs w:val="18"/>
        </w:rPr>
      </w:pPr>
      <w:r>
        <w:rPr>
          <w:rFonts w:hint="eastAsia" w:hAnsi="宋体" w:cs="宋体"/>
          <w:sz w:val="18"/>
          <w:szCs w:val="18"/>
          <w:bdr w:val="single" w:color="auto" w:sz="4" w:space="0"/>
        </w:rPr>
        <w:t xml:space="preserve">扣缴义务人编码：                                     </w:t>
      </w:r>
      <w:r>
        <w:rPr>
          <w:rFonts w:hint="eastAsia" w:hAnsi="宋体" w:cs="宋体"/>
          <w:sz w:val="18"/>
          <w:szCs w:val="18"/>
        </w:rPr>
        <w:t xml:space="preserve">           </w:t>
      </w:r>
    </w:p>
    <w:p>
      <w:pPr>
        <w:widowControl/>
        <w:spacing w:line="0" w:lineRule="atLeast"/>
        <w:rPr>
          <w:rFonts w:hAnsi="宋体" w:cs="宋体"/>
          <w:sz w:val="10"/>
          <w:szCs w:val="10"/>
        </w:rPr>
      </w:pPr>
    </w:p>
    <w:p>
      <w:pPr>
        <w:widowControl/>
        <w:spacing w:line="0" w:lineRule="atLeast"/>
        <w:jc w:val="right"/>
        <w:rPr>
          <w:rFonts w:hAnsi="宋体" w:cs="宋体"/>
          <w:sz w:val="18"/>
          <w:szCs w:val="18"/>
        </w:rPr>
      </w:pPr>
      <w:r>
        <w:rPr>
          <w:rFonts w:hint="eastAsia" w:hAnsi="宋体" w:cs="宋体"/>
          <w:sz w:val="18"/>
          <w:szCs w:val="18"/>
        </w:rPr>
        <w:t>税款所属期</w:t>
      </w:r>
      <w:r>
        <w:rPr>
          <w:rFonts w:hAnsi="宋体" w:cs="宋体"/>
          <w:sz w:val="18"/>
          <w:szCs w:val="18"/>
        </w:rPr>
        <w:t xml:space="preserve">:   </w:t>
      </w:r>
      <w:r>
        <w:rPr>
          <w:rFonts w:hint="eastAsia" w:hAnsi="宋体" w:cs="宋体"/>
          <w:sz w:val="18"/>
          <w:szCs w:val="18"/>
        </w:rPr>
        <w:t>年  月  日至    年  月  日</w:t>
      </w:r>
      <w:r>
        <w:rPr>
          <w:rFonts w:hAnsi="宋体" w:cs="宋体"/>
          <w:sz w:val="18"/>
          <w:szCs w:val="18"/>
        </w:rPr>
        <w:t xml:space="preserve">    </w:t>
      </w:r>
      <w:r>
        <w:rPr>
          <w:rFonts w:hint="eastAsia" w:hAnsi="宋体" w:cs="宋体"/>
          <w:sz w:val="18"/>
          <w:szCs w:val="18"/>
        </w:rPr>
        <w:t xml:space="preserve">     填表日期：</w:t>
      </w:r>
      <w:r>
        <w:rPr>
          <w:rFonts w:hAnsi="宋体" w:cs="宋体"/>
          <w:sz w:val="18"/>
          <w:szCs w:val="18"/>
        </w:rPr>
        <w:t xml:space="preserve">  </w:t>
      </w:r>
      <w:r>
        <w:rPr>
          <w:rFonts w:hint="eastAsia" w:hAnsi="宋体" w:cs="宋体"/>
          <w:sz w:val="18"/>
          <w:szCs w:val="18"/>
        </w:rPr>
        <w:t>年</w:t>
      </w:r>
      <w:r>
        <w:rPr>
          <w:rFonts w:hAnsi="宋体" w:cs="宋体"/>
          <w:sz w:val="18"/>
          <w:szCs w:val="18"/>
        </w:rPr>
        <w:t xml:space="preserve">  </w:t>
      </w:r>
      <w:r>
        <w:rPr>
          <w:rFonts w:hint="eastAsia" w:hAnsi="宋体" w:cs="宋体"/>
          <w:sz w:val="18"/>
          <w:szCs w:val="18"/>
        </w:rPr>
        <w:t>月</w:t>
      </w:r>
      <w:r>
        <w:rPr>
          <w:rFonts w:hAnsi="宋体" w:cs="宋体"/>
          <w:sz w:val="18"/>
          <w:szCs w:val="18"/>
        </w:rPr>
        <w:t xml:space="preserve">  </w:t>
      </w:r>
      <w:r>
        <w:rPr>
          <w:rFonts w:hint="eastAsia" w:hAnsi="宋体" w:cs="宋体"/>
          <w:sz w:val="18"/>
          <w:szCs w:val="18"/>
        </w:rPr>
        <w:t xml:space="preserve">日  </w:t>
      </w:r>
      <w:r>
        <w:rPr>
          <w:rFonts w:hAnsi="宋体" w:cs="宋体"/>
          <w:sz w:val="18"/>
          <w:szCs w:val="18"/>
        </w:rPr>
        <w:t xml:space="preserve">   </w:t>
      </w:r>
      <w:r>
        <w:rPr>
          <w:rFonts w:hint="eastAsia" w:hAnsi="宋体" w:cs="宋体"/>
          <w:sz w:val="18"/>
          <w:szCs w:val="18"/>
        </w:rPr>
        <w:t xml:space="preserve">  </w:t>
      </w:r>
      <w:r>
        <w:rPr>
          <w:rFonts w:hAnsi="宋体" w:cs="宋体"/>
          <w:sz w:val="18"/>
          <w:szCs w:val="18"/>
        </w:rPr>
        <w:t xml:space="preserve"> </w:t>
      </w:r>
      <w:r>
        <w:rPr>
          <w:rFonts w:hint="eastAsia" w:hAnsi="宋体" w:cs="宋体"/>
          <w:sz w:val="18"/>
          <w:szCs w:val="18"/>
        </w:rPr>
        <w:t>金额单位：元（列至角分）</w:t>
      </w:r>
    </w:p>
    <w:tbl>
      <w:tblPr>
        <w:tblStyle w:val="12"/>
        <w:tblW w:w="9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418"/>
        <w:gridCol w:w="645"/>
        <w:gridCol w:w="615"/>
        <w:gridCol w:w="330"/>
        <w:gridCol w:w="345"/>
        <w:gridCol w:w="330"/>
        <w:gridCol w:w="551"/>
        <w:gridCol w:w="576"/>
        <w:gridCol w:w="1032"/>
        <w:gridCol w:w="1023"/>
        <w:gridCol w:w="339"/>
        <w:gridCol w:w="405"/>
        <w:gridCol w:w="855"/>
        <w:gridCol w:w="480"/>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扣缴义务人名称</w:t>
            </w:r>
          </w:p>
        </w:tc>
        <w:tc>
          <w:tcPr>
            <w:tcW w:w="2683" w:type="dxa"/>
            <w:gridSpan w:val="6"/>
            <w:shd w:val="clear" w:color="auto" w:fill="auto"/>
            <w:vAlign w:val="center"/>
          </w:tcPr>
          <w:p>
            <w:pPr>
              <w:widowControl/>
              <w:spacing w:line="0" w:lineRule="atLeast"/>
              <w:jc w:val="center"/>
              <w:rPr>
                <w:rFonts w:hAnsi="宋体" w:cs="宋体"/>
                <w:sz w:val="18"/>
                <w:szCs w:val="18"/>
              </w:rPr>
            </w:pPr>
          </w:p>
        </w:tc>
        <w:tc>
          <w:tcPr>
            <w:tcW w:w="551"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地址</w:t>
            </w:r>
          </w:p>
        </w:tc>
        <w:tc>
          <w:tcPr>
            <w:tcW w:w="3375" w:type="dxa"/>
            <w:gridSpan w:val="5"/>
            <w:shd w:val="clear" w:color="auto" w:fill="auto"/>
            <w:noWrap/>
            <w:vAlign w:val="center"/>
          </w:tcPr>
          <w:p>
            <w:pPr>
              <w:widowControl/>
              <w:spacing w:line="0" w:lineRule="atLeast"/>
              <w:jc w:val="center"/>
              <w:rPr>
                <w:rFonts w:hAnsi="宋体" w:cs="宋体"/>
                <w:sz w:val="18"/>
                <w:szCs w:val="18"/>
              </w:rPr>
            </w:pPr>
          </w:p>
        </w:tc>
        <w:tc>
          <w:tcPr>
            <w:tcW w:w="855" w:type="dxa"/>
            <w:vAlign w:val="center"/>
          </w:tcPr>
          <w:p>
            <w:pPr>
              <w:widowControl/>
              <w:spacing w:line="0" w:lineRule="atLeast"/>
              <w:jc w:val="center"/>
              <w:rPr>
                <w:rFonts w:hAnsi="宋体" w:cs="宋体"/>
                <w:sz w:val="18"/>
                <w:szCs w:val="18"/>
              </w:rPr>
            </w:pPr>
            <w:r>
              <w:rPr>
                <w:rFonts w:hint="eastAsia" w:hAnsi="宋体" w:cs="宋体"/>
                <w:sz w:val="18"/>
                <w:szCs w:val="18"/>
              </w:rPr>
              <w:t>电话</w:t>
            </w:r>
          </w:p>
        </w:tc>
        <w:tc>
          <w:tcPr>
            <w:tcW w:w="1406" w:type="dxa"/>
            <w:gridSpan w:val="2"/>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653" w:type="dxa"/>
            <w:vMerge w:val="restart"/>
            <w:shd w:val="clear" w:color="auto" w:fill="auto"/>
            <w:noWrap/>
            <w:vAlign w:val="center"/>
          </w:tcPr>
          <w:p>
            <w:pPr>
              <w:spacing w:line="0" w:lineRule="atLeast"/>
              <w:ind w:left="-134" w:leftChars="-64" w:right="-132" w:rightChars="-63"/>
              <w:jc w:val="center"/>
              <w:rPr>
                <w:rFonts w:hAnsi="宋体" w:cs="宋体"/>
                <w:sz w:val="18"/>
                <w:szCs w:val="18"/>
              </w:rPr>
            </w:pPr>
            <w:r>
              <w:rPr>
                <w:rFonts w:hint="eastAsia" w:hAnsi="宋体" w:cs="宋体"/>
                <w:sz w:val="18"/>
                <w:szCs w:val="18"/>
              </w:rPr>
              <w:t>序号</w:t>
            </w:r>
          </w:p>
        </w:tc>
        <w:tc>
          <w:tcPr>
            <w:tcW w:w="418" w:type="dxa"/>
            <w:vMerge w:val="restart"/>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纳税人姓名</w:t>
            </w:r>
          </w:p>
        </w:tc>
        <w:tc>
          <w:tcPr>
            <w:tcW w:w="1260" w:type="dxa"/>
            <w:gridSpan w:val="2"/>
            <w:shd w:val="clear" w:color="auto" w:fill="auto"/>
            <w:noWrap/>
            <w:vAlign w:val="center"/>
          </w:tcPr>
          <w:p>
            <w:pPr>
              <w:widowControl/>
              <w:spacing w:line="0" w:lineRule="atLeast"/>
              <w:ind w:left="-42" w:leftChars="-20"/>
              <w:jc w:val="center"/>
              <w:rPr>
                <w:rFonts w:hint="eastAsia" w:hAnsi="宋体" w:cs="宋体"/>
                <w:sz w:val="18"/>
                <w:szCs w:val="18"/>
              </w:rPr>
            </w:pPr>
            <w:r>
              <w:rPr>
                <w:rFonts w:hint="eastAsia" w:hAnsi="宋体" w:cs="宋体"/>
                <w:sz w:val="18"/>
                <w:szCs w:val="18"/>
              </w:rPr>
              <w:t>纳税人有效</w:t>
            </w:r>
          </w:p>
          <w:p>
            <w:pPr>
              <w:widowControl/>
              <w:spacing w:line="0" w:lineRule="atLeast"/>
              <w:ind w:left="-42" w:leftChars="-20"/>
              <w:jc w:val="center"/>
              <w:rPr>
                <w:rFonts w:hAnsi="宋体" w:cs="宋体"/>
                <w:sz w:val="18"/>
                <w:szCs w:val="18"/>
              </w:rPr>
            </w:pPr>
            <w:r>
              <w:rPr>
                <w:rFonts w:hint="eastAsia" w:hAnsi="宋体" w:cs="宋体"/>
                <w:sz w:val="18"/>
                <w:szCs w:val="18"/>
              </w:rPr>
              <w:t>身份证照</w:t>
            </w:r>
          </w:p>
        </w:tc>
        <w:tc>
          <w:tcPr>
            <w:tcW w:w="330" w:type="dxa"/>
            <w:vMerge w:val="restart"/>
            <w:shd w:val="clear" w:color="auto" w:fill="auto"/>
            <w:noWrap/>
            <w:vAlign w:val="center"/>
          </w:tcPr>
          <w:p>
            <w:pPr>
              <w:widowControl/>
              <w:spacing w:line="0" w:lineRule="atLeast"/>
              <w:ind w:left="-82" w:leftChars="-39" w:right="-44" w:rightChars="-21"/>
              <w:jc w:val="center"/>
              <w:rPr>
                <w:rFonts w:hAnsi="宋体" w:cs="宋体"/>
                <w:sz w:val="18"/>
                <w:szCs w:val="18"/>
              </w:rPr>
            </w:pPr>
            <w:r>
              <w:rPr>
                <w:rFonts w:hint="eastAsia" w:hAnsi="宋体" w:cs="宋体"/>
                <w:sz w:val="18"/>
                <w:szCs w:val="18"/>
              </w:rPr>
              <w:t>证券</w:t>
            </w:r>
          </w:p>
          <w:p>
            <w:pPr>
              <w:widowControl/>
              <w:spacing w:line="0" w:lineRule="atLeast"/>
              <w:ind w:left="-82" w:leftChars="-39" w:right="-44" w:rightChars="-21"/>
              <w:jc w:val="center"/>
              <w:rPr>
                <w:rFonts w:hAnsi="宋体" w:cs="宋体"/>
                <w:sz w:val="18"/>
                <w:szCs w:val="18"/>
              </w:rPr>
            </w:pPr>
            <w:r>
              <w:rPr>
                <w:rFonts w:hint="eastAsia" w:hAnsi="宋体" w:cs="宋体"/>
                <w:sz w:val="18"/>
                <w:szCs w:val="18"/>
              </w:rPr>
              <w:t>账户号</w:t>
            </w:r>
          </w:p>
        </w:tc>
        <w:tc>
          <w:tcPr>
            <w:tcW w:w="345" w:type="dxa"/>
            <w:vMerge w:val="restart"/>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股票</w:t>
            </w:r>
          </w:p>
          <w:p>
            <w:pPr>
              <w:widowControl/>
              <w:spacing w:line="0" w:lineRule="atLeast"/>
              <w:jc w:val="center"/>
              <w:rPr>
                <w:rFonts w:hAnsi="宋体" w:cs="宋体"/>
                <w:sz w:val="18"/>
                <w:szCs w:val="18"/>
              </w:rPr>
            </w:pPr>
            <w:r>
              <w:rPr>
                <w:rFonts w:hint="eastAsia" w:hAnsi="宋体" w:cs="宋体"/>
                <w:sz w:val="18"/>
                <w:szCs w:val="18"/>
              </w:rPr>
              <w:t>代码</w:t>
            </w:r>
          </w:p>
        </w:tc>
        <w:tc>
          <w:tcPr>
            <w:tcW w:w="330" w:type="dxa"/>
            <w:vMerge w:val="restart"/>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股票</w:t>
            </w:r>
          </w:p>
          <w:p>
            <w:pPr>
              <w:widowControl/>
              <w:spacing w:line="0" w:lineRule="atLeast"/>
              <w:jc w:val="center"/>
              <w:rPr>
                <w:rFonts w:hAnsi="宋体" w:cs="宋体"/>
                <w:sz w:val="18"/>
                <w:szCs w:val="18"/>
              </w:rPr>
            </w:pPr>
            <w:r>
              <w:rPr>
                <w:rFonts w:hint="eastAsia" w:hAnsi="宋体" w:cs="宋体"/>
                <w:sz w:val="18"/>
                <w:szCs w:val="18"/>
              </w:rPr>
              <w:t>名称</w:t>
            </w:r>
          </w:p>
        </w:tc>
        <w:tc>
          <w:tcPr>
            <w:tcW w:w="551" w:type="dxa"/>
            <w:vMerge w:val="restart"/>
            <w:shd w:val="clear" w:color="auto" w:fill="auto"/>
            <w:noWrap/>
            <w:vAlign w:val="center"/>
          </w:tcPr>
          <w:p>
            <w:pPr>
              <w:spacing w:line="0" w:lineRule="atLeast"/>
              <w:ind w:left="-101" w:leftChars="-48" w:right="-136" w:rightChars="-65"/>
              <w:jc w:val="center"/>
              <w:rPr>
                <w:rFonts w:hint="eastAsia" w:hAnsi="宋体" w:cs="宋体"/>
                <w:sz w:val="18"/>
                <w:szCs w:val="18"/>
              </w:rPr>
            </w:pPr>
            <w:r>
              <w:rPr>
                <w:rFonts w:hint="eastAsia" w:hAnsi="宋体" w:cs="宋体"/>
                <w:sz w:val="18"/>
                <w:szCs w:val="18"/>
              </w:rPr>
              <w:t>每股</w:t>
            </w:r>
          </w:p>
          <w:p>
            <w:pPr>
              <w:spacing w:line="0" w:lineRule="atLeast"/>
              <w:ind w:left="-101" w:leftChars="-48" w:right="-136" w:rightChars="-65"/>
              <w:jc w:val="center"/>
              <w:rPr>
                <w:rFonts w:hAnsi="宋体" w:cs="宋体"/>
                <w:sz w:val="18"/>
                <w:szCs w:val="18"/>
              </w:rPr>
            </w:pPr>
            <w:r>
              <w:rPr>
                <w:rFonts w:hint="eastAsia" w:hAnsi="宋体" w:cs="宋体"/>
                <w:sz w:val="18"/>
                <w:szCs w:val="18"/>
              </w:rPr>
              <w:t>计税</w:t>
            </w:r>
          </w:p>
          <w:p>
            <w:pPr>
              <w:spacing w:line="0" w:lineRule="atLeast"/>
              <w:ind w:left="-101" w:leftChars="-48" w:right="-136" w:rightChars="-65"/>
              <w:jc w:val="center"/>
              <w:rPr>
                <w:rFonts w:hAnsi="宋体" w:cs="宋体"/>
                <w:sz w:val="18"/>
                <w:szCs w:val="18"/>
              </w:rPr>
            </w:pPr>
            <w:r>
              <w:rPr>
                <w:rFonts w:hint="eastAsia" w:hAnsi="宋体" w:cs="宋体"/>
                <w:sz w:val="18"/>
                <w:szCs w:val="18"/>
              </w:rPr>
              <w:t>价格</w:t>
            </w:r>
          </w:p>
          <w:p>
            <w:pPr>
              <w:spacing w:line="0" w:lineRule="atLeast"/>
              <w:ind w:left="-101" w:leftChars="-48" w:right="-136" w:rightChars="-65"/>
              <w:jc w:val="center"/>
              <w:rPr>
                <w:rFonts w:hAnsi="宋体" w:cs="宋体"/>
                <w:sz w:val="18"/>
                <w:szCs w:val="18"/>
              </w:rPr>
            </w:pPr>
            <w:r>
              <w:rPr>
                <w:rFonts w:hint="eastAsia" w:hAnsi="宋体" w:cs="宋体"/>
                <w:sz w:val="18"/>
                <w:szCs w:val="18"/>
              </w:rPr>
              <w:t>（元/股)</w:t>
            </w:r>
          </w:p>
        </w:tc>
        <w:tc>
          <w:tcPr>
            <w:tcW w:w="576" w:type="dxa"/>
            <w:vMerge w:val="restart"/>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转让股数(股)</w:t>
            </w:r>
          </w:p>
        </w:tc>
        <w:tc>
          <w:tcPr>
            <w:tcW w:w="1032" w:type="dxa"/>
            <w:vMerge w:val="restart"/>
            <w:vAlign w:val="center"/>
          </w:tcPr>
          <w:p>
            <w:pPr>
              <w:widowControl/>
              <w:spacing w:line="0" w:lineRule="atLeast"/>
              <w:jc w:val="center"/>
              <w:rPr>
                <w:rFonts w:hint="eastAsia" w:hAnsi="宋体" w:cs="宋体"/>
                <w:sz w:val="18"/>
                <w:szCs w:val="18"/>
              </w:rPr>
            </w:pPr>
            <w:r>
              <w:rPr>
                <w:rFonts w:hint="eastAsia" w:hAnsi="宋体" w:cs="宋体"/>
                <w:sz w:val="18"/>
                <w:szCs w:val="18"/>
              </w:rPr>
              <w:t>转让</w:t>
            </w:r>
          </w:p>
          <w:p>
            <w:pPr>
              <w:widowControl/>
              <w:spacing w:line="0" w:lineRule="atLeast"/>
              <w:jc w:val="center"/>
              <w:rPr>
                <w:rFonts w:hAnsi="宋体" w:cs="宋体"/>
                <w:sz w:val="18"/>
                <w:szCs w:val="18"/>
              </w:rPr>
            </w:pPr>
            <w:r>
              <w:rPr>
                <w:rFonts w:hint="eastAsia" w:hAnsi="宋体" w:cs="宋体"/>
                <w:sz w:val="18"/>
                <w:szCs w:val="18"/>
              </w:rPr>
              <w:t>收入额</w:t>
            </w:r>
          </w:p>
        </w:tc>
        <w:tc>
          <w:tcPr>
            <w:tcW w:w="1767" w:type="dxa"/>
            <w:gridSpan w:val="3"/>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限售股原值及合理税费</w:t>
            </w:r>
          </w:p>
        </w:tc>
        <w:tc>
          <w:tcPr>
            <w:tcW w:w="855" w:type="dxa"/>
            <w:vMerge w:val="restart"/>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应纳税</w:t>
            </w:r>
          </w:p>
          <w:p>
            <w:pPr>
              <w:widowControl/>
              <w:spacing w:line="0" w:lineRule="atLeast"/>
              <w:jc w:val="center"/>
              <w:rPr>
                <w:rFonts w:hAnsi="宋体" w:cs="宋体"/>
                <w:sz w:val="18"/>
                <w:szCs w:val="18"/>
              </w:rPr>
            </w:pPr>
            <w:r>
              <w:rPr>
                <w:rFonts w:hint="eastAsia" w:hAnsi="宋体" w:cs="宋体"/>
                <w:sz w:val="18"/>
                <w:szCs w:val="18"/>
              </w:rPr>
              <w:t>所得额</w:t>
            </w:r>
          </w:p>
        </w:tc>
        <w:tc>
          <w:tcPr>
            <w:tcW w:w="480" w:type="dxa"/>
            <w:vMerge w:val="restart"/>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税率</w:t>
            </w:r>
          </w:p>
        </w:tc>
        <w:tc>
          <w:tcPr>
            <w:tcW w:w="926" w:type="dxa"/>
            <w:vMerge w:val="restart"/>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扣缴</w:t>
            </w:r>
          </w:p>
          <w:p>
            <w:pPr>
              <w:widowControl/>
              <w:spacing w:line="0" w:lineRule="atLeast"/>
              <w:jc w:val="center"/>
              <w:rPr>
                <w:rFonts w:hAnsi="宋体" w:cs="宋体"/>
                <w:sz w:val="18"/>
                <w:szCs w:val="18"/>
              </w:rPr>
            </w:pPr>
            <w:r>
              <w:rPr>
                <w:rFonts w:hint="eastAsia" w:hAnsi="宋体" w:cs="宋体"/>
                <w:sz w:val="18"/>
                <w:szCs w:val="18"/>
              </w:rPr>
              <w:t>税额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jc w:val="center"/>
        </w:trPr>
        <w:tc>
          <w:tcPr>
            <w:tcW w:w="653" w:type="dxa"/>
            <w:vMerge w:val="continue"/>
            <w:shd w:val="clear" w:color="auto" w:fill="auto"/>
            <w:noWrap/>
            <w:vAlign w:val="center"/>
          </w:tcPr>
          <w:p>
            <w:pPr>
              <w:spacing w:line="0" w:lineRule="atLeast"/>
              <w:ind w:left="-134" w:leftChars="-64" w:right="-132" w:rightChars="-63"/>
              <w:jc w:val="center"/>
              <w:rPr>
                <w:rFonts w:hAnsi="宋体" w:cs="宋体"/>
                <w:sz w:val="18"/>
                <w:szCs w:val="18"/>
              </w:rPr>
            </w:pPr>
          </w:p>
        </w:tc>
        <w:tc>
          <w:tcPr>
            <w:tcW w:w="418" w:type="dxa"/>
            <w:vMerge w:val="continue"/>
            <w:shd w:val="clear" w:color="auto" w:fill="auto"/>
            <w:vAlign w:val="center"/>
          </w:tcPr>
          <w:p>
            <w:pPr>
              <w:widowControl/>
              <w:spacing w:line="0" w:lineRule="atLeast"/>
              <w:jc w:val="center"/>
              <w:rPr>
                <w:rFonts w:hAnsi="宋体" w:cs="宋体"/>
                <w:sz w:val="18"/>
                <w:szCs w:val="18"/>
              </w:rPr>
            </w:pPr>
          </w:p>
        </w:tc>
        <w:tc>
          <w:tcPr>
            <w:tcW w:w="645" w:type="dxa"/>
            <w:shd w:val="clear" w:color="auto" w:fill="auto"/>
            <w:noWrap/>
            <w:vAlign w:val="center"/>
          </w:tcPr>
          <w:p>
            <w:pPr>
              <w:spacing w:line="0" w:lineRule="atLeast"/>
              <w:jc w:val="center"/>
              <w:rPr>
                <w:rFonts w:hAnsi="宋体" w:cs="宋体"/>
                <w:sz w:val="18"/>
                <w:szCs w:val="18"/>
              </w:rPr>
            </w:pPr>
            <w:r>
              <w:rPr>
                <w:rFonts w:hint="eastAsia" w:hAnsi="宋体" w:cs="宋体"/>
                <w:sz w:val="18"/>
                <w:szCs w:val="18"/>
              </w:rPr>
              <w:t>证照类型</w:t>
            </w:r>
          </w:p>
        </w:tc>
        <w:tc>
          <w:tcPr>
            <w:tcW w:w="615"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证照号码</w:t>
            </w:r>
          </w:p>
        </w:tc>
        <w:tc>
          <w:tcPr>
            <w:tcW w:w="330" w:type="dxa"/>
            <w:vMerge w:val="continue"/>
            <w:shd w:val="clear" w:color="auto" w:fill="auto"/>
            <w:noWrap/>
            <w:vAlign w:val="center"/>
          </w:tcPr>
          <w:p>
            <w:pPr>
              <w:widowControl/>
              <w:spacing w:line="0" w:lineRule="atLeast"/>
              <w:jc w:val="center"/>
              <w:rPr>
                <w:rFonts w:hAnsi="宋体" w:cs="宋体"/>
                <w:sz w:val="18"/>
                <w:szCs w:val="18"/>
              </w:rPr>
            </w:pPr>
          </w:p>
        </w:tc>
        <w:tc>
          <w:tcPr>
            <w:tcW w:w="345" w:type="dxa"/>
            <w:vMerge w:val="continue"/>
            <w:shd w:val="clear" w:color="auto" w:fill="auto"/>
            <w:vAlign w:val="center"/>
          </w:tcPr>
          <w:p>
            <w:pPr>
              <w:widowControl/>
              <w:spacing w:line="0" w:lineRule="atLeast"/>
              <w:jc w:val="center"/>
              <w:rPr>
                <w:rFonts w:hAnsi="宋体" w:cs="宋体"/>
                <w:sz w:val="18"/>
                <w:szCs w:val="18"/>
              </w:rPr>
            </w:pPr>
          </w:p>
        </w:tc>
        <w:tc>
          <w:tcPr>
            <w:tcW w:w="330" w:type="dxa"/>
            <w:vMerge w:val="continue"/>
            <w:shd w:val="clear" w:color="auto" w:fill="auto"/>
            <w:vAlign w:val="center"/>
          </w:tcPr>
          <w:p>
            <w:pPr>
              <w:spacing w:line="0" w:lineRule="atLeast"/>
              <w:jc w:val="center"/>
              <w:rPr>
                <w:rFonts w:hAnsi="宋体" w:cs="宋体"/>
                <w:sz w:val="18"/>
                <w:szCs w:val="18"/>
              </w:rPr>
            </w:pPr>
          </w:p>
        </w:tc>
        <w:tc>
          <w:tcPr>
            <w:tcW w:w="551" w:type="dxa"/>
            <w:vMerge w:val="continue"/>
            <w:shd w:val="clear" w:color="auto" w:fill="auto"/>
            <w:noWrap/>
            <w:vAlign w:val="center"/>
          </w:tcPr>
          <w:p>
            <w:pPr>
              <w:spacing w:line="0" w:lineRule="atLeast"/>
              <w:jc w:val="center"/>
              <w:rPr>
                <w:rFonts w:hAnsi="宋体" w:cs="宋体"/>
                <w:sz w:val="18"/>
                <w:szCs w:val="18"/>
              </w:rPr>
            </w:pPr>
          </w:p>
        </w:tc>
        <w:tc>
          <w:tcPr>
            <w:tcW w:w="576" w:type="dxa"/>
            <w:vMerge w:val="continue"/>
            <w:shd w:val="clear" w:color="auto" w:fill="auto"/>
            <w:noWrap/>
            <w:vAlign w:val="center"/>
          </w:tcPr>
          <w:p>
            <w:pPr>
              <w:spacing w:line="0" w:lineRule="atLeast"/>
              <w:jc w:val="center"/>
              <w:rPr>
                <w:rFonts w:hAnsi="宋体" w:cs="宋体"/>
                <w:sz w:val="18"/>
                <w:szCs w:val="18"/>
              </w:rPr>
            </w:pPr>
          </w:p>
        </w:tc>
        <w:tc>
          <w:tcPr>
            <w:tcW w:w="1032" w:type="dxa"/>
            <w:vMerge w:val="continue"/>
            <w:vAlign w:val="center"/>
          </w:tcPr>
          <w:p>
            <w:pPr>
              <w:spacing w:line="0" w:lineRule="atLeast"/>
              <w:jc w:val="center"/>
              <w:rPr>
                <w:rFonts w:hAnsi="宋体" w:cs="宋体"/>
                <w:sz w:val="18"/>
                <w:szCs w:val="18"/>
              </w:rPr>
            </w:pPr>
          </w:p>
        </w:tc>
        <w:tc>
          <w:tcPr>
            <w:tcW w:w="1023" w:type="dxa"/>
            <w:shd w:val="clear" w:color="auto" w:fill="auto"/>
            <w:noWrap/>
            <w:vAlign w:val="center"/>
          </w:tcPr>
          <w:p>
            <w:pPr>
              <w:spacing w:line="0" w:lineRule="atLeast"/>
              <w:ind w:left="-136" w:leftChars="-65" w:right="-80" w:rightChars="-38"/>
              <w:jc w:val="center"/>
              <w:rPr>
                <w:rFonts w:hAnsi="宋体" w:cs="宋体"/>
                <w:sz w:val="18"/>
                <w:szCs w:val="18"/>
              </w:rPr>
            </w:pPr>
            <w:r>
              <w:rPr>
                <w:rFonts w:hint="eastAsia" w:hAnsi="宋体" w:cs="宋体"/>
                <w:sz w:val="18"/>
                <w:szCs w:val="18"/>
              </w:rPr>
              <w:t>小计</w:t>
            </w:r>
          </w:p>
        </w:tc>
        <w:tc>
          <w:tcPr>
            <w:tcW w:w="339" w:type="dxa"/>
            <w:shd w:val="clear" w:color="auto" w:fill="auto"/>
            <w:vAlign w:val="center"/>
          </w:tcPr>
          <w:p>
            <w:pPr>
              <w:spacing w:line="0" w:lineRule="atLeast"/>
              <w:ind w:left="-136" w:leftChars="-65" w:right="-80" w:rightChars="-38"/>
              <w:jc w:val="center"/>
              <w:rPr>
                <w:rFonts w:hAnsi="宋体" w:cs="宋体"/>
                <w:sz w:val="18"/>
                <w:szCs w:val="18"/>
              </w:rPr>
            </w:pPr>
            <w:r>
              <w:rPr>
                <w:rFonts w:hint="eastAsia" w:hAnsi="宋体" w:cs="宋体"/>
                <w:sz w:val="18"/>
                <w:szCs w:val="18"/>
              </w:rPr>
              <w:t>原值</w:t>
            </w:r>
          </w:p>
        </w:tc>
        <w:tc>
          <w:tcPr>
            <w:tcW w:w="405" w:type="dxa"/>
            <w:shd w:val="clear" w:color="auto" w:fill="auto"/>
            <w:vAlign w:val="center"/>
          </w:tcPr>
          <w:p>
            <w:pPr>
              <w:spacing w:line="0" w:lineRule="atLeast"/>
              <w:ind w:left="-136" w:leftChars="-65" w:right="-80" w:rightChars="-38"/>
              <w:jc w:val="center"/>
              <w:rPr>
                <w:rFonts w:hAnsi="宋体" w:cs="宋体"/>
                <w:sz w:val="18"/>
                <w:szCs w:val="18"/>
              </w:rPr>
            </w:pPr>
            <w:r>
              <w:rPr>
                <w:rFonts w:hint="eastAsia" w:hAnsi="宋体" w:cs="宋体"/>
                <w:sz w:val="18"/>
                <w:szCs w:val="18"/>
              </w:rPr>
              <w:t>合理</w:t>
            </w:r>
          </w:p>
          <w:p>
            <w:pPr>
              <w:spacing w:line="0" w:lineRule="atLeast"/>
              <w:ind w:left="-136" w:leftChars="-65" w:right="-80" w:rightChars="-38"/>
              <w:jc w:val="center"/>
              <w:rPr>
                <w:rFonts w:hAnsi="宋体" w:cs="宋体"/>
                <w:sz w:val="18"/>
                <w:szCs w:val="18"/>
              </w:rPr>
            </w:pPr>
            <w:r>
              <w:rPr>
                <w:rFonts w:hint="eastAsia" w:hAnsi="宋体" w:cs="宋体"/>
                <w:sz w:val="18"/>
                <w:szCs w:val="18"/>
              </w:rPr>
              <w:t>税费</w:t>
            </w:r>
          </w:p>
        </w:tc>
        <w:tc>
          <w:tcPr>
            <w:tcW w:w="855" w:type="dxa"/>
            <w:vMerge w:val="continue"/>
            <w:shd w:val="clear" w:color="auto" w:fill="auto"/>
            <w:noWrap/>
            <w:vAlign w:val="center"/>
          </w:tcPr>
          <w:p>
            <w:pPr>
              <w:spacing w:line="0" w:lineRule="atLeast"/>
              <w:jc w:val="center"/>
              <w:rPr>
                <w:rFonts w:hAnsi="宋体" w:cs="宋体"/>
                <w:sz w:val="18"/>
                <w:szCs w:val="18"/>
              </w:rPr>
            </w:pPr>
          </w:p>
        </w:tc>
        <w:tc>
          <w:tcPr>
            <w:tcW w:w="480" w:type="dxa"/>
            <w:vMerge w:val="continue"/>
            <w:shd w:val="clear" w:color="auto" w:fill="auto"/>
            <w:noWrap/>
            <w:vAlign w:val="center"/>
          </w:tcPr>
          <w:p>
            <w:pPr>
              <w:widowControl/>
              <w:spacing w:line="0" w:lineRule="atLeast"/>
              <w:jc w:val="center"/>
              <w:rPr>
                <w:rFonts w:hAnsi="宋体" w:cs="宋体"/>
                <w:sz w:val="18"/>
                <w:szCs w:val="18"/>
              </w:rPr>
            </w:pPr>
          </w:p>
        </w:tc>
        <w:tc>
          <w:tcPr>
            <w:tcW w:w="926" w:type="dxa"/>
            <w:vMerge w:val="continue"/>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653" w:type="dxa"/>
            <w:vMerge w:val="continue"/>
            <w:shd w:val="clear" w:color="auto" w:fill="auto"/>
            <w:noWrap/>
            <w:vAlign w:val="center"/>
          </w:tcPr>
          <w:p>
            <w:pPr>
              <w:widowControl/>
              <w:spacing w:line="0" w:lineRule="atLeast"/>
              <w:ind w:left="-134" w:leftChars="-64" w:right="-132" w:rightChars="-63"/>
              <w:jc w:val="center"/>
              <w:rPr>
                <w:rFonts w:hAnsi="宋体" w:cs="宋体"/>
                <w:sz w:val="18"/>
                <w:szCs w:val="18"/>
              </w:rPr>
            </w:pPr>
          </w:p>
        </w:tc>
        <w:tc>
          <w:tcPr>
            <w:tcW w:w="418" w:type="dxa"/>
            <w:shd w:val="clear" w:color="auto" w:fill="auto"/>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⑴</w:t>
            </w:r>
          </w:p>
        </w:tc>
        <w:tc>
          <w:tcPr>
            <w:tcW w:w="645"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⑵</w:t>
            </w:r>
          </w:p>
        </w:tc>
        <w:tc>
          <w:tcPr>
            <w:tcW w:w="615" w:type="dxa"/>
            <w:shd w:val="clear" w:color="auto" w:fill="auto"/>
            <w:vAlign w:val="center"/>
          </w:tcPr>
          <w:p>
            <w:pPr>
              <w:widowControl/>
              <w:spacing w:line="0" w:lineRule="atLeast"/>
              <w:ind w:right="-130" w:rightChars="-62"/>
              <w:jc w:val="center"/>
              <w:rPr>
                <w:rFonts w:hAnsi="宋体" w:cs="宋体"/>
                <w:sz w:val="18"/>
                <w:szCs w:val="18"/>
              </w:rPr>
            </w:pPr>
            <w:r>
              <w:rPr>
                <w:rFonts w:hint="eastAsia" w:hAnsi="宋体" w:cs="宋体"/>
                <w:sz w:val="18"/>
                <w:szCs w:val="18"/>
              </w:rPr>
              <w:t>⑶</w:t>
            </w:r>
          </w:p>
        </w:tc>
        <w:tc>
          <w:tcPr>
            <w:tcW w:w="330"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⑷</w:t>
            </w:r>
          </w:p>
        </w:tc>
        <w:tc>
          <w:tcPr>
            <w:tcW w:w="345" w:type="dxa"/>
            <w:shd w:val="clear" w:color="auto" w:fill="auto"/>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⑸</w:t>
            </w:r>
          </w:p>
        </w:tc>
        <w:tc>
          <w:tcPr>
            <w:tcW w:w="330" w:type="dxa"/>
            <w:shd w:val="clear" w:color="auto" w:fill="auto"/>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⑹</w:t>
            </w:r>
          </w:p>
        </w:tc>
        <w:tc>
          <w:tcPr>
            <w:tcW w:w="551"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⑺</w:t>
            </w:r>
          </w:p>
        </w:tc>
        <w:tc>
          <w:tcPr>
            <w:tcW w:w="576"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⑻</w:t>
            </w:r>
          </w:p>
        </w:tc>
        <w:tc>
          <w:tcPr>
            <w:tcW w:w="1032" w:type="dxa"/>
            <w:vAlign w:val="center"/>
          </w:tcPr>
          <w:p>
            <w:pPr>
              <w:spacing w:line="0" w:lineRule="atLeast"/>
              <w:ind w:left="-136" w:leftChars="-65" w:right="-80" w:rightChars="-38"/>
              <w:jc w:val="center"/>
              <w:rPr>
                <w:rFonts w:hAnsi="宋体" w:cs="宋体"/>
                <w:sz w:val="18"/>
                <w:szCs w:val="18"/>
              </w:rPr>
            </w:pPr>
            <w:r>
              <w:rPr>
                <w:rFonts w:hint="eastAsia" w:hAnsi="宋体" w:cs="宋体"/>
                <w:sz w:val="18"/>
                <w:szCs w:val="18"/>
              </w:rPr>
              <w:t>⑼=</w:t>
            </w:r>
            <w:r>
              <w:rPr>
                <w:rFonts w:hint="eastAsia" w:ascii="宋体" w:hAnsi="宋体" w:cs="宋体"/>
                <w:sz w:val="18"/>
                <w:szCs w:val="18"/>
              </w:rPr>
              <w:t>⑺×</w:t>
            </w:r>
            <w:r>
              <w:rPr>
                <w:rFonts w:hint="eastAsia" w:hAnsi="宋体" w:cs="宋体"/>
                <w:sz w:val="18"/>
                <w:szCs w:val="18"/>
              </w:rPr>
              <w:t>⑻</w:t>
            </w:r>
          </w:p>
        </w:tc>
        <w:tc>
          <w:tcPr>
            <w:tcW w:w="1023"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⑽=⑾+⑿</w:t>
            </w:r>
          </w:p>
        </w:tc>
        <w:tc>
          <w:tcPr>
            <w:tcW w:w="339" w:type="dxa"/>
            <w:shd w:val="clear" w:color="auto" w:fill="auto"/>
            <w:vAlign w:val="center"/>
          </w:tcPr>
          <w:p>
            <w:pPr>
              <w:widowControl/>
              <w:spacing w:line="0" w:lineRule="atLeast"/>
              <w:ind w:right="-130" w:rightChars="-62"/>
              <w:jc w:val="center"/>
              <w:rPr>
                <w:rFonts w:hAnsi="宋体" w:cs="宋体"/>
                <w:sz w:val="18"/>
                <w:szCs w:val="18"/>
              </w:rPr>
            </w:pPr>
            <w:r>
              <w:rPr>
                <w:rFonts w:hint="eastAsia" w:hAnsi="宋体" w:cs="宋体"/>
                <w:sz w:val="18"/>
                <w:szCs w:val="18"/>
              </w:rPr>
              <w:t>⑾</w:t>
            </w:r>
          </w:p>
        </w:tc>
        <w:tc>
          <w:tcPr>
            <w:tcW w:w="405" w:type="dxa"/>
            <w:shd w:val="clear" w:color="auto" w:fill="auto"/>
            <w:vAlign w:val="center"/>
          </w:tcPr>
          <w:p>
            <w:pPr>
              <w:widowControl/>
              <w:spacing w:line="0" w:lineRule="atLeast"/>
              <w:ind w:right="-130" w:rightChars="-62"/>
              <w:jc w:val="center"/>
              <w:rPr>
                <w:rFonts w:hAnsi="宋体" w:cs="宋体"/>
                <w:b/>
                <w:sz w:val="18"/>
                <w:szCs w:val="18"/>
              </w:rPr>
            </w:pPr>
            <w:r>
              <w:rPr>
                <w:rFonts w:hint="eastAsia" w:hAnsi="宋体" w:cs="宋体"/>
                <w:sz w:val="18"/>
                <w:szCs w:val="18"/>
              </w:rPr>
              <w:t>⑿</w:t>
            </w:r>
          </w:p>
        </w:tc>
        <w:tc>
          <w:tcPr>
            <w:tcW w:w="855"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⒀=⑼-⑽</w:t>
            </w:r>
          </w:p>
        </w:tc>
        <w:tc>
          <w:tcPr>
            <w:tcW w:w="480"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⒁</w:t>
            </w:r>
          </w:p>
        </w:tc>
        <w:tc>
          <w:tcPr>
            <w:tcW w:w="926" w:type="dxa"/>
            <w:shd w:val="clear" w:color="auto" w:fill="auto"/>
            <w:noWrap/>
            <w:vAlign w:val="center"/>
          </w:tcPr>
          <w:p>
            <w:pPr>
              <w:widowControl/>
              <w:spacing w:line="0" w:lineRule="atLeast"/>
              <w:ind w:left="-141" w:leftChars="-67" w:right="-130" w:rightChars="-62"/>
              <w:jc w:val="center"/>
              <w:rPr>
                <w:rFonts w:hAnsi="宋体" w:cs="宋体"/>
                <w:sz w:val="18"/>
                <w:szCs w:val="18"/>
              </w:rPr>
            </w:pPr>
            <w:r>
              <w:rPr>
                <w:rFonts w:hint="eastAsia" w:hAnsi="宋体" w:cs="宋体"/>
                <w:sz w:val="18"/>
                <w:szCs w:val="18"/>
              </w:rPr>
              <w:t>⑸=⒀</w:t>
            </w:r>
            <w:r>
              <w:rPr>
                <w:rFonts w:hint="eastAsia" w:ascii="宋体" w:hAnsi="宋体" w:cs="宋体"/>
                <w:sz w:val="18"/>
                <w:szCs w:val="18"/>
              </w:rPr>
              <w:t>×⒁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2</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3</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4</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5</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6</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7</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8</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9</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10</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11</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12</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13</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14</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15</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53" w:type="dxa"/>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16</w:t>
            </w:r>
          </w:p>
        </w:tc>
        <w:tc>
          <w:tcPr>
            <w:tcW w:w="418" w:type="dxa"/>
            <w:shd w:val="clear" w:color="auto" w:fill="auto"/>
            <w:vAlign w:val="center"/>
          </w:tcPr>
          <w:p>
            <w:pPr>
              <w:widowControl/>
              <w:spacing w:line="0" w:lineRule="atLeast"/>
              <w:jc w:val="left"/>
              <w:rPr>
                <w:rFonts w:hAnsi="宋体" w:cs="宋体"/>
                <w:sz w:val="18"/>
                <w:szCs w:val="18"/>
              </w:rPr>
            </w:pPr>
          </w:p>
        </w:tc>
        <w:tc>
          <w:tcPr>
            <w:tcW w:w="645" w:type="dxa"/>
            <w:shd w:val="clear" w:color="auto" w:fill="auto"/>
            <w:noWrap/>
            <w:vAlign w:val="center"/>
          </w:tcPr>
          <w:p>
            <w:pPr>
              <w:widowControl/>
              <w:spacing w:line="0" w:lineRule="atLeast"/>
              <w:jc w:val="left"/>
              <w:rPr>
                <w:rFonts w:hAnsi="宋体" w:cs="宋体"/>
                <w:sz w:val="18"/>
                <w:szCs w:val="18"/>
              </w:rPr>
            </w:pPr>
          </w:p>
        </w:tc>
        <w:tc>
          <w:tcPr>
            <w:tcW w:w="61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noWrap/>
            <w:vAlign w:val="center"/>
          </w:tcPr>
          <w:p>
            <w:pPr>
              <w:widowControl/>
              <w:spacing w:line="0" w:lineRule="atLeast"/>
              <w:jc w:val="left"/>
              <w:rPr>
                <w:rFonts w:hAnsi="宋体" w:cs="宋体"/>
                <w:sz w:val="18"/>
                <w:szCs w:val="18"/>
              </w:rPr>
            </w:pPr>
          </w:p>
        </w:tc>
        <w:tc>
          <w:tcPr>
            <w:tcW w:w="345" w:type="dxa"/>
            <w:shd w:val="clear" w:color="auto" w:fill="auto"/>
            <w:vAlign w:val="center"/>
          </w:tcPr>
          <w:p>
            <w:pPr>
              <w:widowControl/>
              <w:spacing w:line="0" w:lineRule="atLeast"/>
              <w:jc w:val="left"/>
              <w:rPr>
                <w:rFonts w:hAnsi="宋体" w:cs="宋体"/>
                <w:sz w:val="18"/>
                <w:szCs w:val="18"/>
              </w:rPr>
            </w:pPr>
          </w:p>
        </w:tc>
        <w:tc>
          <w:tcPr>
            <w:tcW w:w="330" w:type="dxa"/>
            <w:shd w:val="clear" w:color="auto" w:fill="auto"/>
            <w:vAlign w:val="center"/>
          </w:tcPr>
          <w:p>
            <w:pPr>
              <w:widowControl/>
              <w:spacing w:line="0" w:lineRule="atLeast"/>
              <w:jc w:val="left"/>
              <w:rPr>
                <w:rFonts w:hAnsi="宋体" w:cs="宋体"/>
                <w:sz w:val="18"/>
                <w:szCs w:val="18"/>
              </w:rPr>
            </w:pPr>
          </w:p>
        </w:tc>
        <w:tc>
          <w:tcPr>
            <w:tcW w:w="551" w:type="dxa"/>
            <w:shd w:val="clear" w:color="auto" w:fill="auto"/>
            <w:noWrap/>
            <w:vAlign w:val="center"/>
          </w:tcPr>
          <w:p>
            <w:pPr>
              <w:widowControl/>
              <w:spacing w:line="0" w:lineRule="atLeast"/>
              <w:jc w:val="left"/>
              <w:rPr>
                <w:rFonts w:hAnsi="宋体" w:cs="宋体"/>
                <w:sz w:val="18"/>
                <w:szCs w:val="18"/>
              </w:rPr>
            </w:pPr>
          </w:p>
        </w:tc>
        <w:tc>
          <w:tcPr>
            <w:tcW w:w="576" w:type="dxa"/>
            <w:shd w:val="clear" w:color="auto" w:fill="auto"/>
            <w:noWrap/>
            <w:vAlign w:val="center"/>
          </w:tcPr>
          <w:p>
            <w:pPr>
              <w:widowControl/>
              <w:spacing w:line="0" w:lineRule="atLeast"/>
              <w:jc w:val="left"/>
              <w:rPr>
                <w:rFonts w:hAnsi="宋体" w:cs="宋体"/>
                <w:sz w:val="18"/>
                <w:szCs w:val="18"/>
              </w:rPr>
            </w:pPr>
          </w:p>
        </w:tc>
        <w:tc>
          <w:tcPr>
            <w:tcW w:w="1032" w:type="dxa"/>
          </w:tcPr>
          <w:p>
            <w:pPr>
              <w:widowControl/>
              <w:spacing w:line="0" w:lineRule="atLeast"/>
              <w:jc w:val="left"/>
              <w:rPr>
                <w:rFonts w:hAnsi="宋体" w:cs="宋体"/>
                <w:sz w:val="18"/>
                <w:szCs w:val="18"/>
              </w:rPr>
            </w:pPr>
          </w:p>
        </w:tc>
        <w:tc>
          <w:tcPr>
            <w:tcW w:w="1023" w:type="dxa"/>
            <w:shd w:val="clear" w:color="auto" w:fill="auto"/>
            <w:noWrap/>
            <w:vAlign w:val="center"/>
          </w:tcPr>
          <w:p>
            <w:pPr>
              <w:widowControl/>
              <w:spacing w:line="0" w:lineRule="atLeast"/>
              <w:jc w:val="left"/>
              <w:rPr>
                <w:rFonts w:hAnsi="宋体" w:cs="宋体"/>
                <w:sz w:val="18"/>
                <w:szCs w:val="18"/>
              </w:rPr>
            </w:pPr>
          </w:p>
        </w:tc>
        <w:tc>
          <w:tcPr>
            <w:tcW w:w="339" w:type="dxa"/>
            <w:shd w:val="clear" w:color="auto" w:fill="auto"/>
            <w:vAlign w:val="center"/>
          </w:tcPr>
          <w:p>
            <w:pPr>
              <w:widowControl/>
              <w:spacing w:line="0" w:lineRule="atLeast"/>
              <w:jc w:val="left"/>
              <w:rPr>
                <w:rFonts w:hAnsi="宋体" w:cs="宋体"/>
                <w:sz w:val="18"/>
                <w:szCs w:val="18"/>
              </w:rPr>
            </w:pPr>
          </w:p>
        </w:tc>
        <w:tc>
          <w:tcPr>
            <w:tcW w:w="405" w:type="dxa"/>
            <w:shd w:val="clear" w:color="auto" w:fill="auto"/>
            <w:vAlign w:val="center"/>
          </w:tcPr>
          <w:p>
            <w:pPr>
              <w:widowControl/>
              <w:spacing w:line="0" w:lineRule="atLeast"/>
              <w:jc w:val="left"/>
              <w:rPr>
                <w:rFonts w:hAnsi="宋体" w:cs="宋体"/>
                <w:sz w:val="18"/>
                <w:szCs w:val="18"/>
              </w:rPr>
            </w:pPr>
          </w:p>
        </w:tc>
        <w:tc>
          <w:tcPr>
            <w:tcW w:w="855" w:type="dxa"/>
            <w:shd w:val="clear" w:color="auto" w:fill="auto"/>
            <w:noWrap/>
            <w:vAlign w:val="center"/>
          </w:tcPr>
          <w:p>
            <w:pPr>
              <w:widowControl/>
              <w:spacing w:line="0" w:lineRule="atLeast"/>
              <w:jc w:val="left"/>
              <w:rPr>
                <w:rFonts w:hAnsi="宋体" w:cs="宋体"/>
                <w:sz w:val="18"/>
                <w:szCs w:val="18"/>
              </w:rPr>
            </w:pPr>
          </w:p>
        </w:tc>
        <w:tc>
          <w:tcPr>
            <w:tcW w:w="480" w:type="dxa"/>
            <w:shd w:val="clear" w:color="auto" w:fill="auto"/>
            <w:noWrap/>
            <w:vAlign w:val="center"/>
          </w:tcPr>
          <w:p>
            <w:pPr>
              <w:widowControl/>
              <w:spacing w:line="0" w:lineRule="atLeast"/>
              <w:jc w:val="left"/>
              <w:rPr>
                <w:rFonts w:hAnsi="宋体" w:cs="宋体"/>
                <w:sz w:val="18"/>
                <w:szCs w:val="18"/>
              </w:rPr>
            </w:pP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495" w:type="dxa"/>
            <w:gridSpan w:val="10"/>
            <w:shd w:val="clear" w:color="auto" w:fill="auto"/>
            <w:noWrap/>
            <w:vAlign w:val="center"/>
          </w:tcPr>
          <w:p>
            <w:pPr>
              <w:widowControl/>
              <w:spacing w:line="0" w:lineRule="atLeast"/>
              <w:jc w:val="center"/>
              <w:rPr>
                <w:rFonts w:hAnsi="宋体" w:cs="宋体"/>
                <w:sz w:val="18"/>
                <w:szCs w:val="18"/>
              </w:rPr>
            </w:pPr>
            <w:r>
              <w:rPr>
                <w:rFonts w:hint="eastAsia" w:hAnsi="宋体" w:cs="宋体"/>
                <w:sz w:val="18"/>
                <w:szCs w:val="18"/>
              </w:rPr>
              <w:t>合  计</w:t>
            </w:r>
          </w:p>
        </w:tc>
        <w:tc>
          <w:tcPr>
            <w:tcW w:w="1767" w:type="dxa"/>
            <w:gridSpan w:val="3"/>
            <w:shd w:val="clear" w:color="auto" w:fill="auto"/>
            <w:vAlign w:val="center"/>
          </w:tcPr>
          <w:p>
            <w:pPr>
              <w:widowControl/>
              <w:spacing w:line="0" w:lineRule="atLeast"/>
              <w:jc w:val="center"/>
              <w:rPr>
                <w:rFonts w:hAnsi="宋体" w:cs="宋体"/>
                <w:sz w:val="18"/>
                <w:szCs w:val="18"/>
              </w:rPr>
            </w:pPr>
          </w:p>
        </w:tc>
        <w:tc>
          <w:tcPr>
            <w:tcW w:w="855" w:type="dxa"/>
            <w:shd w:val="clear" w:color="auto" w:fill="auto"/>
            <w:vAlign w:val="center"/>
          </w:tcPr>
          <w:p>
            <w:pPr>
              <w:widowControl/>
              <w:spacing w:line="0" w:lineRule="atLeast"/>
              <w:jc w:val="center"/>
              <w:rPr>
                <w:rFonts w:hAnsi="宋体" w:cs="宋体"/>
                <w:sz w:val="18"/>
                <w:szCs w:val="18"/>
              </w:rPr>
            </w:pPr>
          </w:p>
        </w:tc>
        <w:tc>
          <w:tcPr>
            <w:tcW w:w="48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w:t>
            </w:r>
          </w:p>
        </w:tc>
        <w:tc>
          <w:tcPr>
            <w:tcW w:w="926" w:type="dxa"/>
            <w:shd w:val="clear" w:color="auto" w:fill="auto"/>
            <w:noWrap/>
            <w:vAlign w:val="center"/>
          </w:tcPr>
          <w:p>
            <w:pPr>
              <w:widowControl/>
              <w:spacing w:line="0" w:lineRule="atLeast"/>
              <w:jc w:val="left"/>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1071" w:type="dxa"/>
            <w:gridSpan w:val="2"/>
            <w:shd w:val="clear" w:color="auto" w:fill="auto"/>
            <w:noWrap/>
            <w:vAlign w:val="center"/>
          </w:tcPr>
          <w:p>
            <w:pPr>
              <w:widowControl/>
              <w:spacing w:line="0" w:lineRule="atLeast"/>
              <w:ind w:left="-143" w:leftChars="-68" w:right="-107" w:rightChars="-51"/>
              <w:jc w:val="center"/>
              <w:rPr>
                <w:sz w:val="18"/>
                <w:szCs w:val="18"/>
              </w:rPr>
            </w:pPr>
            <w:r>
              <w:rPr>
                <w:rFonts w:hint="eastAsia"/>
                <w:sz w:val="18"/>
                <w:szCs w:val="18"/>
              </w:rPr>
              <w:t>扣缴义务人</w:t>
            </w:r>
          </w:p>
          <w:p>
            <w:pPr>
              <w:widowControl/>
              <w:spacing w:line="0" w:lineRule="atLeast"/>
              <w:ind w:left="-143" w:leftChars="-68" w:right="-107" w:rightChars="-51"/>
              <w:jc w:val="center"/>
              <w:rPr>
                <w:rFonts w:hAnsi="宋体" w:cs="宋体"/>
                <w:sz w:val="18"/>
                <w:szCs w:val="18"/>
              </w:rPr>
            </w:pPr>
            <w:r>
              <w:rPr>
                <w:rFonts w:hint="eastAsia"/>
                <w:sz w:val="18"/>
                <w:szCs w:val="18"/>
              </w:rPr>
              <w:t>声明</w:t>
            </w:r>
          </w:p>
        </w:tc>
        <w:tc>
          <w:tcPr>
            <w:tcW w:w="4424" w:type="dxa"/>
            <w:gridSpan w:val="8"/>
            <w:shd w:val="clear" w:color="auto" w:fill="auto"/>
            <w:vAlign w:val="center"/>
          </w:tcPr>
          <w:p>
            <w:pPr>
              <w:spacing w:line="0" w:lineRule="atLeast"/>
              <w:ind w:firstLine="360" w:firstLineChars="200"/>
              <w:rPr>
                <w:b/>
                <w:sz w:val="18"/>
                <w:szCs w:val="18"/>
              </w:rPr>
            </w:pPr>
            <w:r>
              <w:rPr>
                <w:rFonts w:hint="eastAsia"/>
                <w:sz w:val="18"/>
                <w:szCs w:val="18"/>
              </w:rPr>
              <w:t>我声明，此扣缴申报表及所附资料是根据《中华人民共和国个人所得税法》及相关法律法规的规定填报的，我确保它是真实的、可靠的、完整的。</w:t>
            </w:r>
          </w:p>
          <w:p>
            <w:pPr>
              <w:spacing w:line="0" w:lineRule="atLeast"/>
              <w:ind w:firstLine="632" w:firstLineChars="350"/>
              <w:jc w:val="left"/>
              <w:rPr>
                <w:rFonts w:hint="eastAsia"/>
                <w:sz w:val="18"/>
                <w:szCs w:val="18"/>
              </w:rPr>
            </w:pPr>
            <w:r>
              <w:rPr>
                <w:rFonts w:hint="eastAsia"/>
                <w:b/>
                <w:sz w:val="18"/>
                <w:szCs w:val="18"/>
              </w:rPr>
              <w:t>法定代表人</w:t>
            </w:r>
            <w:r>
              <w:rPr>
                <w:sz w:val="18"/>
                <w:szCs w:val="18"/>
              </w:rPr>
              <w:t>(</w:t>
            </w:r>
            <w:r>
              <w:rPr>
                <w:rFonts w:hint="eastAsia"/>
                <w:sz w:val="18"/>
                <w:szCs w:val="18"/>
              </w:rPr>
              <w:t>签字</w:t>
            </w:r>
            <w:r>
              <w:rPr>
                <w:sz w:val="18"/>
                <w:szCs w:val="18"/>
              </w:rPr>
              <w:t>)</w:t>
            </w:r>
            <w:r>
              <w:rPr>
                <w:rFonts w:hint="eastAsia"/>
                <w:sz w:val="18"/>
                <w:szCs w:val="18"/>
              </w:rPr>
              <w:t xml:space="preserve">              </w:t>
            </w:r>
          </w:p>
          <w:p>
            <w:pPr>
              <w:spacing w:line="0" w:lineRule="atLeast"/>
              <w:ind w:firstLine="3150" w:firstLineChars="1750"/>
              <w:jc w:val="left"/>
              <w:rPr>
                <w:rFonts w:hAnsi="宋体" w:cs="宋体"/>
                <w:sz w:val="18"/>
                <w:szCs w:val="18"/>
              </w:rPr>
            </w:pPr>
            <w:r>
              <w:rPr>
                <w:rFonts w:hint="eastAsia"/>
                <w:b w:val="0"/>
                <w:bCs/>
                <w:sz w:val="18"/>
                <w:szCs w:val="18"/>
              </w:rPr>
              <w:t>年  月  日</w:t>
            </w:r>
          </w:p>
        </w:tc>
        <w:tc>
          <w:tcPr>
            <w:tcW w:w="1767" w:type="dxa"/>
            <w:gridSpan w:val="3"/>
            <w:shd w:val="clear" w:color="auto" w:fill="auto"/>
            <w:vAlign w:val="center"/>
          </w:tcPr>
          <w:p>
            <w:pPr>
              <w:spacing w:line="0" w:lineRule="atLeast"/>
              <w:ind w:left="61" w:leftChars="29"/>
              <w:jc w:val="left"/>
              <w:rPr>
                <w:sz w:val="18"/>
                <w:szCs w:val="18"/>
              </w:rPr>
            </w:pPr>
            <w:r>
              <w:rPr>
                <w:rFonts w:hint="eastAsia"/>
                <w:b/>
                <w:sz w:val="18"/>
                <w:szCs w:val="18"/>
              </w:rPr>
              <w:t>扣缴义务人</w:t>
            </w:r>
            <w:r>
              <w:rPr>
                <w:sz w:val="18"/>
                <w:szCs w:val="18"/>
              </w:rPr>
              <w:t>(</w:t>
            </w:r>
            <w:r>
              <w:rPr>
                <w:rFonts w:hint="eastAsia"/>
                <w:sz w:val="18"/>
                <w:szCs w:val="18"/>
              </w:rPr>
              <w:t>盖章</w:t>
            </w:r>
            <w:r>
              <w:rPr>
                <w:sz w:val="18"/>
                <w:szCs w:val="18"/>
              </w:rPr>
              <w:t>)</w:t>
            </w:r>
          </w:p>
          <w:p>
            <w:pPr>
              <w:spacing w:line="0" w:lineRule="atLeast"/>
              <w:ind w:left="61" w:leftChars="29"/>
              <w:jc w:val="left"/>
              <w:rPr>
                <w:sz w:val="11"/>
                <w:szCs w:val="11"/>
              </w:rPr>
            </w:pPr>
          </w:p>
          <w:p>
            <w:pPr>
              <w:spacing w:line="0" w:lineRule="atLeast"/>
              <w:ind w:left="61" w:leftChars="29"/>
              <w:jc w:val="left"/>
              <w:rPr>
                <w:sz w:val="11"/>
                <w:szCs w:val="11"/>
              </w:rPr>
            </w:pPr>
          </w:p>
          <w:p>
            <w:pPr>
              <w:spacing w:line="0" w:lineRule="atLeast"/>
              <w:ind w:left="61" w:leftChars="29"/>
              <w:jc w:val="left"/>
              <w:rPr>
                <w:sz w:val="18"/>
                <w:szCs w:val="18"/>
              </w:rPr>
            </w:pPr>
            <w:r>
              <w:rPr>
                <w:rFonts w:hint="eastAsia"/>
                <w:sz w:val="18"/>
                <w:szCs w:val="18"/>
              </w:rPr>
              <w:t>会计主管签字：</w:t>
            </w:r>
          </w:p>
          <w:p>
            <w:pPr>
              <w:spacing w:line="0" w:lineRule="atLeast"/>
              <w:ind w:left="871" w:leftChars="29" w:hanging="810" w:hangingChars="450"/>
              <w:jc w:val="left"/>
              <w:rPr>
                <w:rFonts w:hAnsi="宋体" w:cs="宋体"/>
                <w:sz w:val="18"/>
                <w:szCs w:val="18"/>
              </w:rPr>
            </w:pPr>
            <w:r>
              <w:rPr>
                <w:rFonts w:hint="eastAsia" w:hAnsi="宋体" w:cs="宋体"/>
                <w:sz w:val="18"/>
                <w:szCs w:val="18"/>
              </w:rPr>
              <w:t xml:space="preserve">                  年  月  日</w:t>
            </w:r>
          </w:p>
        </w:tc>
        <w:tc>
          <w:tcPr>
            <w:tcW w:w="2261" w:type="dxa"/>
            <w:gridSpan w:val="3"/>
            <w:shd w:val="clear" w:color="auto" w:fill="auto"/>
            <w:vAlign w:val="center"/>
          </w:tcPr>
          <w:p>
            <w:pPr>
              <w:spacing w:line="0" w:lineRule="atLeast"/>
              <w:ind w:left="61" w:leftChars="29"/>
              <w:jc w:val="left"/>
              <w:rPr>
                <w:sz w:val="18"/>
                <w:szCs w:val="18"/>
              </w:rPr>
            </w:pPr>
            <w:r>
              <w:rPr>
                <w:rFonts w:hint="eastAsia"/>
                <w:sz w:val="18"/>
                <w:szCs w:val="18"/>
              </w:rPr>
              <w:t>主管税务机关受理专用章：</w:t>
            </w:r>
          </w:p>
          <w:p>
            <w:pPr>
              <w:spacing w:line="0" w:lineRule="atLeast"/>
              <w:ind w:left="61" w:leftChars="29"/>
              <w:jc w:val="left"/>
              <w:rPr>
                <w:sz w:val="18"/>
                <w:szCs w:val="18"/>
              </w:rPr>
            </w:pPr>
          </w:p>
          <w:p>
            <w:pPr>
              <w:spacing w:line="0" w:lineRule="atLeast"/>
              <w:ind w:left="61" w:leftChars="29"/>
              <w:jc w:val="left"/>
              <w:rPr>
                <w:sz w:val="18"/>
                <w:szCs w:val="18"/>
              </w:rPr>
            </w:pPr>
            <w:r>
              <w:rPr>
                <w:rFonts w:hint="eastAsia"/>
                <w:sz w:val="18"/>
                <w:szCs w:val="18"/>
              </w:rPr>
              <w:t>受理人：</w:t>
            </w:r>
          </w:p>
          <w:p>
            <w:pPr>
              <w:spacing w:line="0" w:lineRule="atLeast"/>
              <w:ind w:left="61" w:leftChars="29"/>
              <w:jc w:val="left"/>
              <w:rPr>
                <w:rFonts w:hAnsi="宋体" w:cs="宋体"/>
                <w:sz w:val="18"/>
                <w:szCs w:val="18"/>
              </w:rPr>
            </w:pPr>
            <w:r>
              <w:rPr>
                <w:rFonts w:hint="eastAsia"/>
                <w:sz w:val="18"/>
                <w:szCs w:val="18"/>
              </w:rPr>
              <w:t>受理时间：    年  月  日</w:t>
            </w:r>
          </w:p>
        </w:tc>
      </w:tr>
    </w:tbl>
    <w:p>
      <w:pPr>
        <w:ind w:left="7557" w:leftChars="170" w:hanging="7200" w:hangingChars="4000"/>
        <w:rPr>
          <w:sz w:val="18"/>
          <w:szCs w:val="18"/>
        </w:rPr>
        <w:sectPr>
          <w:pgSz w:w="11850" w:h="16838"/>
          <w:pgMar w:top="1758" w:right="1418" w:bottom="1758" w:left="1418" w:header="851" w:footer="992" w:gutter="0"/>
          <w:pgNumType w:start="1"/>
          <w:cols w:space="425" w:num="1"/>
          <w:docGrid w:linePitch="312" w:charSpace="0"/>
        </w:sectPr>
      </w:pP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国家税务总局监制</w:t>
      </w:r>
    </w:p>
    <w:p>
      <w:pPr>
        <w:jc w:val="center"/>
        <w:rPr>
          <w:rFonts w:hint="eastAsia" w:eastAsia="华文中宋"/>
          <w:b/>
          <w:sz w:val="28"/>
          <w:szCs w:val="28"/>
        </w:rPr>
      </w:pPr>
    </w:p>
    <w:p>
      <w:pPr>
        <w:jc w:val="center"/>
        <w:rPr>
          <w:rFonts w:eastAsia="华文中宋"/>
          <w:b/>
          <w:sz w:val="28"/>
          <w:szCs w:val="28"/>
        </w:rPr>
      </w:pPr>
      <w:r>
        <w:rPr>
          <w:rFonts w:hint="eastAsia" w:eastAsia="华文中宋"/>
          <w:b/>
          <w:sz w:val="28"/>
          <w:szCs w:val="28"/>
        </w:rPr>
        <w:t>填表须知</w:t>
      </w:r>
    </w:p>
    <w:p>
      <w:pPr>
        <w:ind w:firstLine="480" w:firstLineChars="200"/>
        <w:rPr>
          <w:rFonts w:ascii="宋体" w:hAnsi="宋体"/>
          <w:sz w:val="24"/>
        </w:rPr>
      </w:pPr>
    </w:p>
    <w:p>
      <w:pPr>
        <w:ind w:firstLine="420" w:firstLineChars="200"/>
        <w:rPr>
          <w:rFonts w:ascii="宋体" w:hAnsi="宋体"/>
          <w:sz w:val="21"/>
          <w:szCs w:val="21"/>
        </w:rPr>
      </w:pPr>
      <w:r>
        <w:rPr>
          <w:rFonts w:hint="eastAsia" w:ascii="宋体" w:hAnsi="宋体"/>
          <w:sz w:val="21"/>
          <w:szCs w:val="21"/>
        </w:rPr>
        <w:t>一、本表根据《中华人民共和国个人所得税法》及其实施条例和相关文件制定，适用于证券机构预扣预缴，或者直接代扣代缴限售股转让所得个人所得税的申报，本表按月填写。</w:t>
      </w:r>
    </w:p>
    <w:p>
      <w:pPr>
        <w:ind w:firstLine="420" w:firstLineChars="200"/>
        <w:rPr>
          <w:rFonts w:ascii="宋体" w:hAnsi="宋体"/>
          <w:sz w:val="21"/>
          <w:szCs w:val="21"/>
        </w:rPr>
      </w:pPr>
      <w:r>
        <w:rPr>
          <w:rFonts w:hint="eastAsia" w:ascii="宋体" w:hAnsi="宋体"/>
          <w:sz w:val="21"/>
          <w:szCs w:val="21"/>
        </w:rPr>
        <w:t>二、证券机构应在扣缴限售股转让所得个人所得税的次月7日内向主管税务机关报送本表。不能按照规定期限报送本表时，应当在规定的报送期限内提出申请，经当地税务机关批准，可以适当延期。</w:t>
      </w:r>
    </w:p>
    <w:p>
      <w:pPr>
        <w:ind w:firstLine="420" w:firstLineChars="200"/>
        <w:rPr>
          <w:rFonts w:ascii="宋体" w:hAnsi="宋体"/>
          <w:sz w:val="21"/>
          <w:szCs w:val="21"/>
        </w:rPr>
      </w:pPr>
      <w:r>
        <w:rPr>
          <w:rFonts w:hint="eastAsia" w:ascii="宋体" w:hAnsi="宋体"/>
          <w:sz w:val="21"/>
          <w:szCs w:val="21"/>
        </w:rPr>
        <w:t>三、填写本表应当使用中文。</w:t>
      </w:r>
    </w:p>
    <w:p>
      <w:pPr>
        <w:ind w:firstLine="420" w:firstLineChars="200"/>
        <w:rPr>
          <w:rFonts w:ascii="宋体" w:hAnsi="宋体"/>
          <w:sz w:val="21"/>
          <w:szCs w:val="21"/>
        </w:rPr>
      </w:pPr>
      <w:r>
        <w:rPr>
          <w:rFonts w:hint="eastAsia" w:ascii="宋体" w:hAnsi="宋体"/>
          <w:sz w:val="21"/>
          <w:szCs w:val="21"/>
        </w:rPr>
        <w:t>四、本表各栏的填写说明如下：</w:t>
      </w:r>
    </w:p>
    <w:p>
      <w:pPr>
        <w:ind w:firstLine="420" w:firstLineChars="200"/>
        <w:rPr>
          <w:rFonts w:ascii="宋体" w:hAnsi="宋体"/>
          <w:sz w:val="21"/>
          <w:szCs w:val="21"/>
        </w:rPr>
      </w:pPr>
      <w:r>
        <w:rPr>
          <w:rFonts w:hint="eastAsia" w:ascii="宋体" w:hAnsi="宋体"/>
          <w:sz w:val="21"/>
          <w:szCs w:val="21"/>
        </w:rPr>
        <w:t>（一）扣缴义务人编码：填写扣缴税款的证券机构的税务登记证号码。</w:t>
      </w:r>
    </w:p>
    <w:p>
      <w:pPr>
        <w:ind w:firstLine="420" w:firstLineChars="200"/>
        <w:rPr>
          <w:rFonts w:ascii="宋体" w:hAnsi="宋体"/>
          <w:sz w:val="21"/>
          <w:szCs w:val="21"/>
        </w:rPr>
      </w:pPr>
      <w:r>
        <w:rPr>
          <w:rFonts w:hint="eastAsia" w:ascii="宋体" w:hAnsi="宋体"/>
          <w:sz w:val="21"/>
          <w:szCs w:val="21"/>
        </w:rPr>
        <w:t>（二）填表日期：填写扣缴义务人办理扣缴申报的实际日期。</w:t>
      </w:r>
    </w:p>
    <w:p>
      <w:pPr>
        <w:ind w:firstLine="420" w:firstLineChars="200"/>
        <w:rPr>
          <w:rFonts w:ascii="宋体" w:hAnsi="宋体"/>
          <w:sz w:val="21"/>
          <w:szCs w:val="21"/>
        </w:rPr>
      </w:pPr>
      <w:r>
        <w:rPr>
          <w:rFonts w:hint="eastAsia" w:ascii="宋体" w:hAnsi="宋体"/>
          <w:sz w:val="21"/>
          <w:szCs w:val="21"/>
        </w:rPr>
        <w:t>（三）税款所属期</w:t>
      </w:r>
      <w:r>
        <w:rPr>
          <w:rFonts w:ascii="宋体" w:hAnsi="宋体"/>
          <w:sz w:val="21"/>
          <w:szCs w:val="21"/>
        </w:rPr>
        <w:t>:</w:t>
      </w:r>
      <w:r>
        <w:rPr>
          <w:rFonts w:hint="eastAsia" w:ascii="宋体" w:hAnsi="宋体"/>
          <w:sz w:val="21"/>
          <w:szCs w:val="21"/>
        </w:rPr>
        <w:t>填写证券机构实际扣缴税款的年度、月份和日期。</w:t>
      </w:r>
    </w:p>
    <w:p>
      <w:pPr>
        <w:ind w:firstLine="420" w:firstLineChars="200"/>
        <w:rPr>
          <w:rFonts w:ascii="宋体" w:hAnsi="宋体"/>
          <w:sz w:val="21"/>
          <w:szCs w:val="21"/>
        </w:rPr>
      </w:pPr>
      <w:r>
        <w:rPr>
          <w:rFonts w:hint="eastAsia" w:ascii="宋体" w:hAnsi="宋体"/>
          <w:sz w:val="21"/>
          <w:szCs w:val="21"/>
        </w:rPr>
        <w:t>（四）扣缴义务人名称：填写扣缴税款的证券公司（营业部）等证券机构的全称。</w:t>
      </w:r>
    </w:p>
    <w:p>
      <w:pPr>
        <w:ind w:firstLine="420" w:firstLineChars="200"/>
        <w:rPr>
          <w:rFonts w:ascii="宋体" w:hAnsi="宋体"/>
          <w:sz w:val="21"/>
          <w:szCs w:val="21"/>
        </w:rPr>
      </w:pPr>
      <w:r>
        <w:rPr>
          <w:rFonts w:hint="eastAsia" w:ascii="宋体" w:hAnsi="宋体"/>
          <w:sz w:val="21"/>
          <w:szCs w:val="21"/>
        </w:rPr>
        <w:t>（五）纳税人身份证照类型及号码：填写纳税人有效身份证件（居民身份证、军人身份证件等）的类型及号码。</w:t>
      </w:r>
    </w:p>
    <w:p>
      <w:pPr>
        <w:ind w:firstLine="420" w:firstLineChars="200"/>
        <w:rPr>
          <w:rFonts w:ascii="宋体" w:hAnsi="宋体"/>
          <w:sz w:val="21"/>
          <w:szCs w:val="21"/>
        </w:rPr>
      </w:pPr>
      <w:r>
        <w:rPr>
          <w:rFonts w:hint="eastAsia" w:ascii="宋体" w:hAnsi="宋体"/>
          <w:sz w:val="21"/>
          <w:szCs w:val="21"/>
        </w:rPr>
        <w:t>（六）证券账户号：填写纳税人证券账户卡上的证券账户号。转让的限售股是在上海交易所上市的，填写证券账户卡（上海）上的证券账户号；转让的限售股是在深圳交易所上市的，填写证券账户卡（深圳）上的证券账户号。</w:t>
      </w:r>
    </w:p>
    <w:p>
      <w:pPr>
        <w:ind w:firstLine="420" w:firstLineChars="200"/>
        <w:rPr>
          <w:rFonts w:ascii="宋体" w:hAnsi="宋体"/>
          <w:sz w:val="21"/>
          <w:szCs w:val="21"/>
        </w:rPr>
      </w:pPr>
      <w:r>
        <w:rPr>
          <w:rFonts w:hint="eastAsia" w:ascii="宋体" w:hAnsi="宋体"/>
          <w:sz w:val="21"/>
          <w:szCs w:val="21"/>
        </w:rPr>
        <w:t>（七）股票代码及名称：填写所转让的限售股股票的股票代码和证券名称。纳税人转让不同限售股的，分行填写。</w:t>
      </w:r>
    </w:p>
    <w:p>
      <w:pPr>
        <w:ind w:firstLine="420" w:firstLineChars="200"/>
        <w:rPr>
          <w:rFonts w:ascii="宋体" w:hAnsi="宋体"/>
          <w:sz w:val="21"/>
          <w:szCs w:val="21"/>
        </w:rPr>
      </w:pPr>
      <w:r>
        <w:rPr>
          <w:rFonts w:hint="eastAsia" w:ascii="宋体" w:hAnsi="宋体"/>
          <w:sz w:val="21"/>
          <w:szCs w:val="21"/>
        </w:rPr>
        <w:t>（八）每股计税价格：区分以下两种情形填写。</w:t>
      </w:r>
    </w:p>
    <w:p>
      <w:pPr>
        <w:ind w:firstLine="420" w:firstLineChars="200"/>
        <w:rPr>
          <w:rFonts w:ascii="宋体" w:hAnsi="宋体"/>
          <w:sz w:val="21"/>
          <w:szCs w:val="21"/>
        </w:rPr>
      </w:pPr>
      <w:r>
        <w:rPr>
          <w:rFonts w:hint="eastAsia" w:ascii="宋体" w:hAnsi="宋体"/>
          <w:sz w:val="21"/>
          <w:szCs w:val="21"/>
        </w:rPr>
        <w:t>1. 在证券</w:t>
      </w:r>
      <w:r>
        <w:rPr>
          <w:rFonts w:ascii="宋体" w:hAnsi="宋体"/>
          <w:sz w:val="21"/>
          <w:szCs w:val="21"/>
        </w:rPr>
        <w:t>机构技术和制度准备完成前形成的限售股</w:t>
      </w:r>
      <w:r>
        <w:rPr>
          <w:rFonts w:hint="eastAsia" w:ascii="宋体" w:hAnsi="宋体"/>
          <w:sz w:val="21"/>
          <w:szCs w:val="21"/>
        </w:rPr>
        <w:t>，采取预扣预缴方式征收的，股改限售股填写股改复牌日收盘价；新股限售股填写该股上市首日的收盘价。</w:t>
      </w:r>
    </w:p>
    <w:p>
      <w:pPr>
        <w:ind w:firstLine="420" w:firstLineChars="200"/>
        <w:rPr>
          <w:rFonts w:ascii="宋体" w:hAnsi="宋体"/>
          <w:sz w:val="21"/>
          <w:szCs w:val="21"/>
        </w:rPr>
      </w:pPr>
      <w:r>
        <w:rPr>
          <w:rFonts w:hint="eastAsia" w:ascii="宋体" w:hAnsi="宋体"/>
          <w:sz w:val="21"/>
          <w:szCs w:val="21"/>
        </w:rPr>
        <w:t>2. 在证券</w:t>
      </w:r>
      <w:r>
        <w:rPr>
          <w:rFonts w:ascii="宋体" w:hAnsi="宋体"/>
          <w:sz w:val="21"/>
          <w:szCs w:val="21"/>
        </w:rPr>
        <w:t>机构技术和制度准备完成</w:t>
      </w:r>
      <w:r>
        <w:rPr>
          <w:rFonts w:hint="eastAsia" w:ascii="宋体" w:hAnsi="宋体"/>
          <w:sz w:val="21"/>
          <w:szCs w:val="21"/>
        </w:rPr>
        <w:t>后，采取直接代扣代缴方式征收的，填写纳税人实际转让限售股的每股成交价格。以不同价格成交的，分行填写。</w:t>
      </w:r>
    </w:p>
    <w:p>
      <w:pPr>
        <w:ind w:firstLine="420" w:firstLineChars="200"/>
        <w:rPr>
          <w:rFonts w:ascii="宋体" w:hAnsi="宋体"/>
          <w:sz w:val="21"/>
          <w:szCs w:val="21"/>
        </w:rPr>
      </w:pPr>
      <w:r>
        <w:rPr>
          <w:rFonts w:hint="eastAsia" w:ascii="宋体" w:hAnsi="宋体"/>
          <w:sz w:val="21"/>
          <w:szCs w:val="21"/>
        </w:rPr>
        <w:t>（九）转让股数：填写前列每股计税价格所对应的股数。即：</w:t>
      </w:r>
    </w:p>
    <w:p>
      <w:pPr>
        <w:ind w:firstLine="420" w:firstLineChars="200"/>
        <w:rPr>
          <w:rFonts w:ascii="宋体" w:hAnsi="宋体"/>
          <w:sz w:val="21"/>
          <w:szCs w:val="21"/>
        </w:rPr>
      </w:pPr>
      <w:r>
        <w:rPr>
          <w:rFonts w:hint="eastAsia" w:ascii="宋体" w:hAnsi="宋体"/>
          <w:sz w:val="21"/>
          <w:szCs w:val="21"/>
        </w:rPr>
        <w:t>1. 在证券</w:t>
      </w:r>
      <w:r>
        <w:rPr>
          <w:rFonts w:ascii="宋体" w:hAnsi="宋体"/>
          <w:sz w:val="21"/>
          <w:szCs w:val="21"/>
        </w:rPr>
        <w:t>机构技术和制度准备完成前</w:t>
      </w:r>
      <w:r>
        <w:rPr>
          <w:rFonts w:hint="eastAsia" w:ascii="宋体" w:hAnsi="宋体"/>
          <w:sz w:val="21"/>
          <w:szCs w:val="21"/>
        </w:rPr>
        <w:t>，采取预扣预缴方式的，转让股数填写本月该限售股累计转让股数。</w:t>
      </w:r>
    </w:p>
    <w:p>
      <w:pPr>
        <w:ind w:firstLine="420" w:firstLineChars="200"/>
        <w:rPr>
          <w:rFonts w:ascii="宋体" w:hAnsi="宋体"/>
          <w:sz w:val="21"/>
          <w:szCs w:val="21"/>
        </w:rPr>
      </w:pPr>
      <w:r>
        <w:rPr>
          <w:rFonts w:hint="eastAsia" w:ascii="宋体" w:hAnsi="宋体"/>
          <w:sz w:val="21"/>
          <w:szCs w:val="21"/>
        </w:rPr>
        <w:t>2. 在证券</w:t>
      </w:r>
      <w:r>
        <w:rPr>
          <w:rFonts w:ascii="宋体" w:hAnsi="宋体"/>
          <w:sz w:val="21"/>
          <w:szCs w:val="21"/>
        </w:rPr>
        <w:t>机构技术和制度准备完成</w:t>
      </w:r>
      <w:r>
        <w:rPr>
          <w:rFonts w:hint="eastAsia" w:ascii="宋体" w:hAnsi="宋体"/>
          <w:sz w:val="21"/>
          <w:szCs w:val="21"/>
        </w:rPr>
        <w:t>后，采取直接代扣代缴方式的，转让股数按照不同转让价格，分别填写按该价格转让的股数。</w:t>
      </w:r>
    </w:p>
    <w:p>
      <w:pPr>
        <w:ind w:firstLine="420" w:firstLineChars="200"/>
        <w:rPr>
          <w:rFonts w:ascii="宋体" w:hAnsi="宋体"/>
          <w:sz w:val="21"/>
          <w:szCs w:val="21"/>
        </w:rPr>
      </w:pPr>
      <w:r>
        <w:rPr>
          <w:rFonts w:hint="eastAsia" w:ascii="宋体" w:hAnsi="宋体"/>
          <w:sz w:val="21"/>
          <w:szCs w:val="21"/>
        </w:rPr>
        <w:t>（十）转让收入额：填写本次限售股转让取得的用于计税的收入额。</w:t>
      </w:r>
    </w:p>
    <w:p>
      <w:pPr>
        <w:ind w:firstLine="420" w:firstLineChars="200"/>
        <w:rPr>
          <w:rFonts w:ascii="宋体" w:hAnsi="宋体"/>
          <w:sz w:val="21"/>
          <w:szCs w:val="21"/>
        </w:rPr>
      </w:pPr>
      <w:r>
        <w:rPr>
          <w:rFonts w:hint="eastAsia" w:ascii="宋体" w:hAnsi="宋体"/>
          <w:sz w:val="21"/>
          <w:szCs w:val="21"/>
        </w:rPr>
        <w:t>限售股转让收入额=每股计税价格×转让股数</w:t>
      </w:r>
    </w:p>
    <w:p>
      <w:pPr>
        <w:ind w:firstLine="420" w:firstLineChars="200"/>
        <w:rPr>
          <w:rFonts w:ascii="宋体" w:hAnsi="宋体"/>
          <w:sz w:val="21"/>
          <w:szCs w:val="21"/>
        </w:rPr>
      </w:pPr>
      <w:r>
        <w:rPr>
          <w:rFonts w:hint="eastAsia" w:ascii="宋体" w:hAnsi="宋体"/>
          <w:sz w:val="21"/>
          <w:szCs w:val="21"/>
        </w:rPr>
        <w:t>（十一）限售股原值及合理税费：填写取得限售股股票实际付出的成本，以及限售股转让过程中发生的印花税、佣金、过户费等与交易相关的税费的合计。具体有两种不同情况：</w:t>
      </w:r>
    </w:p>
    <w:p>
      <w:pPr>
        <w:ind w:firstLine="420" w:firstLineChars="200"/>
        <w:rPr>
          <w:rFonts w:ascii="宋体" w:hAnsi="宋体"/>
          <w:sz w:val="21"/>
          <w:szCs w:val="21"/>
        </w:rPr>
      </w:pPr>
      <w:r>
        <w:rPr>
          <w:rFonts w:hint="eastAsia" w:ascii="宋体" w:hAnsi="宋体"/>
          <w:sz w:val="21"/>
          <w:szCs w:val="21"/>
        </w:rPr>
        <w:t>1. 在证券</w:t>
      </w:r>
      <w:r>
        <w:rPr>
          <w:rFonts w:ascii="宋体" w:hAnsi="宋体"/>
          <w:sz w:val="21"/>
          <w:szCs w:val="21"/>
        </w:rPr>
        <w:t>机构技术和制度准备完成前形成的限售股</w:t>
      </w:r>
      <w:r>
        <w:rPr>
          <w:rFonts w:hint="eastAsia" w:ascii="宋体" w:hAnsi="宋体"/>
          <w:sz w:val="21"/>
          <w:szCs w:val="21"/>
        </w:rPr>
        <w:t>，采取预扣预缴税款的，限售股原值及合理税费=转让收入额×15%，直接填入小计栏中；</w:t>
      </w:r>
    </w:p>
    <w:p>
      <w:pPr>
        <w:ind w:firstLine="420" w:firstLineChars="200"/>
        <w:rPr>
          <w:rFonts w:ascii="宋体" w:hAnsi="宋体"/>
          <w:sz w:val="21"/>
          <w:szCs w:val="21"/>
        </w:rPr>
      </w:pPr>
      <w:r>
        <w:rPr>
          <w:rFonts w:hint="eastAsia" w:ascii="宋体" w:hAnsi="宋体"/>
          <w:sz w:val="21"/>
          <w:szCs w:val="21"/>
        </w:rPr>
        <w:t>2. 在证券</w:t>
      </w:r>
      <w:r>
        <w:rPr>
          <w:rFonts w:ascii="宋体" w:hAnsi="宋体"/>
          <w:sz w:val="21"/>
          <w:szCs w:val="21"/>
        </w:rPr>
        <w:t>机构技术和制度准备完成</w:t>
      </w:r>
      <w:r>
        <w:rPr>
          <w:rFonts w:hint="eastAsia" w:ascii="宋体" w:hAnsi="宋体"/>
          <w:sz w:val="21"/>
          <w:szCs w:val="21"/>
        </w:rPr>
        <w:t>后，采取直接代扣代缴税款的，限售股原值为事先植入结算系统的限售股成本原值；合理税费为转让过程中发生的印花税、佣金、过户费、其他费等与交易相关的税费。</w:t>
      </w:r>
    </w:p>
    <w:p>
      <w:pPr>
        <w:ind w:firstLine="420" w:firstLineChars="200"/>
        <w:rPr>
          <w:rFonts w:ascii="宋体" w:hAnsi="宋体"/>
          <w:sz w:val="21"/>
          <w:szCs w:val="21"/>
        </w:rPr>
      </w:pPr>
      <w:r>
        <w:rPr>
          <w:rFonts w:hint="eastAsia" w:ascii="宋体" w:hAnsi="宋体"/>
          <w:sz w:val="21"/>
          <w:szCs w:val="21"/>
        </w:rPr>
        <w:t>（十二）应纳税所得额：应纳税所得额=转让收入额-限售股原值及合理税费。</w:t>
      </w:r>
    </w:p>
    <w:p>
      <w:pPr>
        <w:ind w:firstLine="420" w:firstLineChars="200"/>
        <w:rPr>
          <w:rFonts w:ascii="宋体" w:hAnsi="宋体"/>
          <w:sz w:val="21"/>
          <w:szCs w:val="21"/>
        </w:rPr>
      </w:pPr>
      <w:r>
        <w:rPr>
          <w:rFonts w:hint="eastAsia" w:ascii="宋体" w:hAnsi="宋体"/>
          <w:sz w:val="21"/>
          <w:szCs w:val="21"/>
        </w:rPr>
        <w:t>（十三）扣缴税额：扣缴税额=应纳税所得额×20%。</w:t>
      </w:r>
    </w:p>
    <w:p>
      <w:pPr>
        <w:ind w:firstLine="420" w:firstLineChars="200"/>
        <w:rPr>
          <w:rFonts w:ascii="宋体" w:hAnsi="宋体"/>
          <w:sz w:val="21"/>
          <w:szCs w:val="21"/>
        </w:rPr>
      </w:pPr>
      <w:r>
        <w:rPr>
          <w:rFonts w:hint="eastAsia" w:ascii="宋体" w:hAnsi="宋体"/>
          <w:sz w:val="21"/>
          <w:szCs w:val="21"/>
        </w:rPr>
        <w:t>五、本表为A4横式。一式两份，扣缴义务人留存一份，税务机关留存一份。</w:t>
      </w:r>
    </w:p>
    <w:p>
      <w:pPr>
        <w:rPr>
          <w:sz w:val="21"/>
          <w:szCs w:val="21"/>
        </w:rPr>
      </w:pPr>
    </w:p>
    <w:p>
      <w:pPr>
        <w:jc w:val="center"/>
        <w:rPr>
          <w:rFonts w:ascii="宋体" w:hAnsi="宋体" w:eastAsia="宋体" w:cs="宋体"/>
          <w:color w:val="000000"/>
          <w:kern w:val="0"/>
          <w:sz w:val="24"/>
          <w:szCs w:val="24"/>
        </w:rPr>
      </w:pPr>
    </w:p>
    <w:p>
      <w:pPr>
        <w:jc w:val="center"/>
        <w:rPr>
          <w:rFonts w:ascii="宋体" w:hAnsi="宋体" w:eastAsia="宋体" w:cs="宋体"/>
          <w:color w:val="000000"/>
          <w:kern w:val="0"/>
          <w:sz w:val="24"/>
          <w:szCs w:val="24"/>
        </w:rPr>
      </w:pPr>
    </w:p>
    <w:p>
      <w:pPr>
        <w:jc w:val="center"/>
        <w:rPr>
          <w:rFonts w:ascii="宋体" w:hAnsi="宋体" w:eastAsia="宋体" w:cs="宋体"/>
          <w:color w:val="000000"/>
          <w:kern w:val="0"/>
          <w:sz w:val="24"/>
          <w:szCs w:val="24"/>
        </w:rPr>
      </w:pPr>
    </w:p>
    <w:p>
      <w:pPr>
        <w:jc w:val="both"/>
        <w:rPr>
          <w:rFonts w:ascii="宋体" w:hAnsi="宋体" w:eastAsia="宋体" w:cs="宋体"/>
          <w:color w:val="000000"/>
          <w:kern w:val="0"/>
          <w:sz w:val="24"/>
          <w:szCs w:val="24"/>
        </w:rPr>
      </w:pPr>
    </w:p>
    <w:p>
      <w:pPr>
        <w:keepNext w:val="0"/>
        <w:keepLines w:val="0"/>
        <w:pageBreakBefore w:val="0"/>
        <w:kinsoku/>
        <w:wordWrap/>
        <w:overflowPunct/>
        <w:topLinePunct w:val="0"/>
        <w:autoSpaceDE/>
        <w:autoSpaceDN/>
        <w:bidi w:val="0"/>
        <w:adjustRightInd/>
        <w:snapToGrid/>
        <w:spacing w:line="400" w:lineRule="exact"/>
        <w:textAlignment w:val="auto"/>
        <w:rPr>
          <w:rFonts w:ascii="华文中宋" w:hAnsi="华文中宋" w:eastAsia="华文中宋"/>
          <w:sz w:val="36"/>
          <w:szCs w:val="36"/>
        </w:rPr>
      </w:pPr>
      <w:r>
        <w:rPr>
          <w:rFonts w:hint="eastAsia" w:hAnsi="宋体" w:cs="宋体"/>
          <w:szCs w:val="21"/>
        </w:rPr>
        <w:t xml:space="preserve">附件2:        </w:t>
      </w:r>
      <w:r>
        <w:rPr>
          <w:rFonts w:hint="eastAsia" w:ascii="华文中宋" w:hAnsi="华文中宋" w:eastAsia="华文中宋"/>
          <w:sz w:val="36"/>
          <w:szCs w:val="36"/>
        </w:rPr>
        <w:t>限售股转让所得个人所得税清算申报表</w:t>
      </w:r>
    </w:p>
    <w:p>
      <w:pPr>
        <w:keepNext w:val="0"/>
        <w:keepLines w:val="0"/>
        <w:pageBreakBefore w:val="0"/>
        <w:widowControl/>
        <w:kinsoku/>
        <w:wordWrap/>
        <w:overflowPunct/>
        <w:topLinePunct w:val="0"/>
        <w:autoSpaceDE/>
        <w:autoSpaceDN/>
        <w:bidi w:val="0"/>
        <w:adjustRightInd/>
        <w:snapToGrid/>
        <w:spacing w:line="400" w:lineRule="exact"/>
        <w:ind w:right="-63" w:rightChars="-30"/>
        <w:jc w:val="center"/>
        <w:textAlignment w:val="auto"/>
        <w:rPr>
          <w:rFonts w:hAnsi="宋体" w:cs="宋体"/>
          <w:sz w:val="10"/>
          <w:szCs w:val="10"/>
        </w:rPr>
      </w:pPr>
      <w:r>
        <w:rPr>
          <w:rFonts w:hint="eastAsia" w:hAnsi="宋体" w:cs="宋体"/>
          <w:szCs w:val="21"/>
        </w:rPr>
        <w:t>填表日期：</w:t>
      </w:r>
      <w:r>
        <w:rPr>
          <w:rFonts w:hAnsi="宋体" w:cs="宋体"/>
          <w:szCs w:val="21"/>
        </w:rPr>
        <w:t xml:space="preserve">      </w:t>
      </w:r>
      <w:r>
        <w:rPr>
          <w:rFonts w:hint="eastAsia" w:hAnsi="宋体" w:cs="宋体"/>
          <w:szCs w:val="21"/>
        </w:rPr>
        <w:t>年</w:t>
      </w:r>
      <w:r>
        <w:rPr>
          <w:rFonts w:hAnsi="宋体" w:cs="宋体"/>
          <w:szCs w:val="21"/>
        </w:rPr>
        <w:t xml:space="preserve">     </w:t>
      </w:r>
      <w:r>
        <w:rPr>
          <w:rFonts w:hint="eastAsia" w:hAnsi="宋体" w:cs="宋体"/>
          <w:szCs w:val="21"/>
        </w:rPr>
        <w:t>月</w:t>
      </w:r>
      <w:r>
        <w:rPr>
          <w:rFonts w:hAnsi="宋体" w:cs="宋体"/>
          <w:szCs w:val="21"/>
        </w:rPr>
        <w:t xml:space="preserve">    </w:t>
      </w:r>
      <w:r>
        <w:rPr>
          <w:rFonts w:hint="eastAsia" w:hAnsi="宋体" w:cs="宋体"/>
          <w:szCs w:val="21"/>
        </w:rPr>
        <w:t>日</w:t>
      </w:r>
    </w:p>
    <w:p>
      <w:pPr>
        <w:keepNext w:val="0"/>
        <w:keepLines w:val="0"/>
        <w:pageBreakBefore w:val="0"/>
        <w:widowControl/>
        <w:kinsoku/>
        <w:wordWrap/>
        <w:overflowPunct/>
        <w:topLinePunct w:val="0"/>
        <w:autoSpaceDE/>
        <w:autoSpaceDN/>
        <w:bidi w:val="0"/>
        <w:adjustRightInd/>
        <w:snapToGrid/>
        <w:spacing w:line="400" w:lineRule="exact"/>
        <w:ind w:right="-63" w:rightChars="-30"/>
        <w:jc w:val="center"/>
        <w:textAlignment w:val="auto"/>
        <w:rPr>
          <w:rFonts w:hAnsi="宋体" w:cs="宋体"/>
          <w:szCs w:val="21"/>
        </w:rPr>
      </w:pPr>
      <w:r>
        <w:rPr>
          <w:rFonts w:hint="eastAsia" w:hAnsi="宋体" w:cs="宋体"/>
          <w:szCs w:val="21"/>
        </w:rPr>
        <w:t>税款所属期</w:t>
      </w:r>
      <w:r>
        <w:rPr>
          <w:rFonts w:hAnsi="宋体" w:cs="宋体"/>
          <w:szCs w:val="21"/>
        </w:rPr>
        <w:t>:</w:t>
      </w:r>
      <w:r>
        <w:rPr>
          <w:rFonts w:hint="eastAsia" w:hAnsi="宋体" w:cs="宋体"/>
          <w:szCs w:val="21"/>
        </w:rPr>
        <w:t xml:space="preserve">    年</w:t>
      </w:r>
      <w:r>
        <w:rPr>
          <w:rFonts w:hAnsi="宋体" w:cs="宋体"/>
          <w:szCs w:val="21"/>
        </w:rPr>
        <w:t xml:space="preserve">  </w:t>
      </w:r>
      <w:r>
        <w:rPr>
          <w:rFonts w:hint="eastAsia" w:hAnsi="宋体" w:cs="宋体"/>
          <w:szCs w:val="21"/>
        </w:rPr>
        <w:t>月</w:t>
      </w:r>
      <w:r>
        <w:rPr>
          <w:rFonts w:hAnsi="宋体" w:cs="宋体"/>
          <w:szCs w:val="21"/>
        </w:rPr>
        <w:t xml:space="preserve">  </w:t>
      </w:r>
      <w:r>
        <w:rPr>
          <w:rFonts w:hint="eastAsia" w:hAnsi="宋体" w:cs="宋体"/>
          <w:szCs w:val="21"/>
        </w:rPr>
        <w:t>日至</w:t>
      </w:r>
      <w:r>
        <w:rPr>
          <w:rFonts w:hAnsi="宋体" w:cs="宋体"/>
          <w:szCs w:val="21"/>
        </w:rPr>
        <w:t xml:space="preserve">  </w:t>
      </w:r>
      <w:r>
        <w:rPr>
          <w:rFonts w:hint="eastAsia" w:hAnsi="宋体" w:cs="宋体"/>
          <w:szCs w:val="21"/>
        </w:rPr>
        <w:t>年</w:t>
      </w:r>
      <w:r>
        <w:rPr>
          <w:rFonts w:hAnsi="宋体" w:cs="宋体"/>
          <w:szCs w:val="21"/>
        </w:rPr>
        <w:t xml:space="preserve">  </w:t>
      </w:r>
      <w:r>
        <w:rPr>
          <w:rFonts w:hint="eastAsia" w:hAnsi="宋体" w:cs="宋体"/>
          <w:szCs w:val="21"/>
        </w:rPr>
        <w:t>月</w:t>
      </w:r>
      <w:r>
        <w:rPr>
          <w:rFonts w:hAnsi="宋体" w:cs="宋体"/>
          <w:szCs w:val="21"/>
        </w:rPr>
        <w:t xml:space="preserve">  </w:t>
      </w:r>
      <w:r>
        <w:rPr>
          <w:rFonts w:hint="eastAsia" w:hAnsi="宋体" w:cs="宋体"/>
          <w:szCs w:val="21"/>
        </w:rPr>
        <w:t>日              金额单位：元（列至角分）</w:t>
      </w:r>
    </w:p>
    <w:tbl>
      <w:tblPr>
        <w:tblStyle w:val="12"/>
        <w:tblW w:w="10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613"/>
        <w:gridCol w:w="2100"/>
        <w:gridCol w:w="1611"/>
        <w:gridCol w:w="270"/>
        <w:gridCol w:w="236"/>
        <w:gridCol w:w="237"/>
        <w:gridCol w:w="236"/>
        <w:gridCol w:w="236"/>
        <w:gridCol w:w="237"/>
        <w:gridCol w:w="236"/>
        <w:gridCol w:w="236"/>
        <w:gridCol w:w="237"/>
        <w:gridCol w:w="236"/>
        <w:gridCol w:w="236"/>
        <w:gridCol w:w="237"/>
        <w:gridCol w:w="236"/>
        <w:gridCol w:w="236"/>
        <w:gridCol w:w="237"/>
        <w:gridCol w:w="236"/>
        <w:gridCol w:w="236"/>
        <w:gridCol w:w="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restart"/>
            <w:shd w:val="clear" w:color="auto" w:fill="F3F3F3"/>
            <w:noWrap/>
            <w:vAlign w:val="center"/>
          </w:tcPr>
          <w:p>
            <w:pPr>
              <w:spacing w:line="0" w:lineRule="atLeast"/>
              <w:ind w:left="-139" w:leftChars="-66" w:right="-105" w:rightChars="-50"/>
              <w:jc w:val="center"/>
              <w:rPr>
                <w:rFonts w:hAnsi="宋体" w:cs="宋体"/>
                <w:b/>
                <w:sz w:val="18"/>
                <w:szCs w:val="18"/>
              </w:rPr>
            </w:pPr>
            <w:r>
              <w:rPr>
                <w:rFonts w:hint="eastAsia" w:hAnsi="宋体" w:cs="宋体"/>
                <w:b/>
                <w:sz w:val="18"/>
                <w:szCs w:val="18"/>
              </w:rPr>
              <w:t>纳税人</w:t>
            </w:r>
          </w:p>
          <w:p>
            <w:pPr>
              <w:spacing w:line="0" w:lineRule="atLeast"/>
              <w:ind w:left="-139" w:leftChars="-66" w:right="-105" w:rightChars="-50"/>
              <w:jc w:val="center"/>
              <w:rPr>
                <w:rFonts w:hAnsi="宋体" w:cs="宋体"/>
                <w:b/>
                <w:sz w:val="18"/>
                <w:szCs w:val="18"/>
              </w:rPr>
            </w:pPr>
            <w:r>
              <w:rPr>
                <w:rFonts w:hint="eastAsia" w:hAnsi="宋体" w:cs="宋体"/>
                <w:b/>
                <w:sz w:val="18"/>
                <w:szCs w:val="18"/>
              </w:rPr>
              <w:t>基本</w:t>
            </w:r>
          </w:p>
          <w:p>
            <w:pPr>
              <w:spacing w:line="0" w:lineRule="atLeast"/>
              <w:ind w:left="-139" w:leftChars="-66" w:right="-105" w:rightChars="-50"/>
              <w:jc w:val="center"/>
              <w:rPr>
                <w:rFonts w:hAnsi="宋体" w:cs="宋体"/>
                <w:b/>
                <w:sz w:val="18"/>
                <w:szCs w:val="18"/>
              </w:rPr>
            </w:pPr>
            <w:r>
              <w:rPr>
                <w:rFonts w:hint="eastAsia" w:hAnsi="宋体" w:cs="宋体"/>
                <w:b/>
                <w:sz w:val="18"/>
                <w:szCs w:val="18"/>
              </w:rPr>
              <w:t>情况</w:t>
            </w:r>
          </w:p>
        </w:tc>
        <w:tc>
          <w:tcPr>
            <w:tcW w:w="1613" w:type="dxa"/>
            <w:shd w:val="clear" w:color="auto" w:fill="auto"/>
            <w:vAlign w:val="center"/>
          </w:tcPr>
          <w:p>
            <w:pPr>
              <w:widowControl/>
              <w:spacing w:line="0" w:lineRule="atLeast"/>
              <w:rPr>
                <w:rFonts w:hAnsi="宋体" w:cs="宋体"/>
                <w:sz w:val="18"/>
                <w:szCs w:val="18"/>
              </w:rPr>
            </w:pPr>
            <w:r>
              <w:rPr>
                <w:rFonts w:hint="eastAsia" w:hAnsi="宋体" w:cs="宋体"/>
                <w:sz w:val="18"/>
                <w:szCs w:val="18"/>
              </w:rPr>
              <w:t>姓 名</w:t>
            </w:r>
          </w:p>
        </w:tc>
        <w:tc>
          <w:tcPr>
            <w:tcW w:w="2100" w:type="dxa"/>
            <w:shd w:val="clear" w:color="auto" w:fill="auto"/>
            <w:vAlign w:val="center"/>
          </w:tcPr>
          <w:p>
            <w:pPr>
              <w:spacing w:line="0" w:lineRule="atLeast"/>
              <w:jc w:val="center"/>
              <w:rPr>
                <w:rFonts w:hAnsi="宋体" w:cs="宋体"/>
                <w:b/>
                <w:sz w:val="18"/>
                <w:szCs w:val="18"/>
              </w:rPr>
            </w:pPr>
          </w:p>
        </w:tc>
        <w:tc>
          <w:tcPr>
            <w:tcW w:w="1611" w:type="dxa"/>
            <w:shd w:val="clear" w:color="auto" w:fill="auto"/>
            <w:vAlign w:val="center"/>
          </w:tcPr>
          <w:p>
            <w:pPr>
              <w:widowControl/>
              <w:spacing w:line="0" w:lineRule="atLeast"/>
              <w:rPr>
                <w:rFonts w:hAnsi="宋体" w:cs="宋体"/>
                <w:sz w:val="18"/>
                <w:szCs w:val="18"/>
              </w:rPr>
            </w:pPr>
            <w:r>
              <w:rPr>
                <w:rFonts w:hint="eastAsia" w:hAnsi="宋体" w:cs="宋体"/>
                <w:sz w:val="18"/>
                <w:szCs w:val="18"/>
              </w:rPr>
              <w:t>证券账户号</w:t>
            </w:r>
          </w:p>
        </w:tc>
        <w:tc>
          <w:tcPr>
            <w:tcW w:w="4288" w:type="dxa"/>
            <w:gridSpan w:val="18"/>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continue"/>
            <w:shd w:val="clear" w:color="auto" w:fill="F3F3F3"/>
            <w:noWrap/>
            <w:vAlign w:val="center"/>
          </w:tcPr>
          <w:p>
            <w:pPr>
              <w:spacing w:line="0" w:lineRule="atLeast"/>
              <w:ind w:left="-139" w:leftChars="-66" w:right="-105" w:rightChars="-50"/>
              <w:jc w:val="center"/>
              <w:rPr>
                <w:rFonts w:hAnsi="宋体" w:cs="宋体"/>
                <w:b/>
                <w:sz w:val="18"/>
                <w:szCs w:val="18"/>
              </w:rPr>
            </w:pPr>
          </w:p>
        </w:tc>
        <w:tc>
          <w:tcPr>
            <w:tcW w:w="1613" w:type="dxa"/>
            <w:shd w:val="clear" w:color="auto" w:fill="auto"/>
            <w:vAlign w:val="center"/>
          </w:tcPr>
          <w:p>
            <w:pPr>
              <w:widowControl/>
              <w:spacing w:line="0" w:lineRule="atLeast"/>
              <w:ind w:right="-107" w:rightChars="-51"/>
              <w:jc w:val="left"/>
              <w:rPr>
                <w:rFonts w:hAnsi="宋体" w:cs="宋体"/>
                <w:sz w:val="18"/>
                <w:szCs w:val="18"/>
              </w:rPr>
            </w:pPr>
            <w:r>
              <w:rPr>
                <w:rFonts w:hint="eastAsia" w:hAnsi="宋体" w:cs="宋体"/>
                <w:sz w:val="18"/>
                <w:szCs w:val="18"/>
              </w:rPr>
              <w:t>有效身份证照类型</w:t>
            </w:r>
          </w:p>
        </w:tc>
        <w:tc>
          <w:tcPr>
            <w:tcW w:w="2100" w:type="dxa"/>
            <w:shd w:val="clear" w:color="auto" w:fill="auto"/>
            <w:vAlign w:val="center"/>
          </w:tcPr>
          <w:p>
            <w:pPr>
              <w:spacing w:line="0" w:lineRule="atLeast"/>
              <w:jc w:val="center"/>
              <w:rPr>
                <w:rFonts w:hAnsi="宋体" w:cs="宋体"/>
                <w:b/>
                <w:sz w:val="18"/>
                <w:szCs w:val="18"/>
              </w:rPr>
            </w:pPr>
          </w:p>
        </w:tc>
        <w:tc>
          <w:tcPr>
            <w:tcW w:w="1611" w:type="dxa"/>
            <w:shd w:val="clear" w:color="auto" w:fill="auto"/>
            <w:vAlign w:val="center"/>
          </w:tcPr>
          <w:p>
            <w:pPr>
              <w:spacing w:line="0" w:lineRule="atLeast"/>
              <w:ind w:right="-145" w:rightChars="-69"/>
              <w:rPr>
                <w:rFonts w:hAnsi="宋体" w:cs="宋体"/>
                <w:sz w:val="18"/>
                <w:szCs w:val="18"/>
              </w:rPr>
            </w:pPr>
            <w:r>
              <w:rPr>
                <w:rFonts w:hint="eastAsia" w:hAnsi="宋体" w:cs="宋体"/>
                <w:sz w:val="18"/>
                <w:szCs w:val="18"/>
              </w:rPr>
              <w:t>有效身份证照号码</w:t>
            </w:r>
          </w:p>
        </w:tc>
        <w:tc>
          <w:tcPr>
            <w:tcW w:w="270"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7"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7"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7"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7"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7"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6" w:type="dxa"/>
            <w:shd w:val="clear" w:color="auto" w:fill="auto"/>
            <w:vAlign w:val="center"/>
          </w:tcPr>
          <w:p>
            <w:pPr>
              <w:spacing w:line="0" w:lineRule="atLeast"/>
              <w:jc w:val="center"/>
              <w:rPr>
                <w:rFonts w:hAnsi="宋体" w:cs="宋体"/>
                <w:b/>
                <w:sz w:val="18"/>
                <w:szCs w:val="18"/>
              </w:rPr>
            </w:pPr>
          </w:p>
        </w:tc>
        <w:tc>
          <w:tcPr>
            <w:tcW w:w="237" w:type="dxa"/>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continue"/>
            <w:shd w:val="clear" w:color="auto" w:fill="F3F3F3"/>
            <w:noWrap/>
            <w:vAlign w:val="center"/>
          </w:tcPr>
          <w:p>
            <w:pPr>
              <w:spacing w:line="0" w:lineRule="atLeast"/>
              <w:ind w:left="-139" w:leftChars="-66" w:right="-105" w:rightChars="-50"/>
              <w:jc w:val="center"/>
              <w:rPr>
                <w:rFonts w:hAnsi="宋体" w:cs="宋体"/>
                <w:b/>
                <w:sz w:val="18"/>
                <w:szCs w:val="18"/>
              </w:rPr>
            </w:pPr>
          </w:p>
        </w:tc>
        <w:tc>
          <w:tcPr>
            <w:tcW w:w="1613" w:type="dxa"/>
            <w:shd w:val="clear" w:color="auto" w:fill="auto"/>
            <w:vAlign w:val="center"/>
          </w:tcPr>
          <w:p>
            <w:pPr>
              <w:widowControl/>
              <w:spacing w:line="0" w:lineRule="atLeast"/>
              <w:ind w:right="-107" w:rightChars="-51"/>
              <w:jc w:val="left"/>
              <w:rPr>
                <w:rFonts w:hAnsi="宋体" w:cs="宋体"/>
                <w:sz w:val="18"/>
                <w:szCs w:val="18"/>
              </w:rPr>
            </w:pPr>
            <w:r>
              <w:rPr>
                <w:rFonts w:hint="eastAsia" w:hAnsi="宋体" w:cs="宋体"/>
                <w:sz w:val="18"/>
                <w:szCs w:val="18"/>
              </w:rPr>
              <w:t>国籍（地区）</w:t>
            </w:r>
          </w:p>
        </w:tc>
        <w:tc>
          <w:tcPr>
            <w:tcW w:w="2100" w:type="dxa"/>
            <w:shd w:val="clear" w:color="auto" w:fill="auto"/>
            <w:vAlign w:val="center"/>
          </w:tcPr>
          <w:p>
            <w:pPr>
              <w:spacing w:line="0" w:lineRule="atLeast"/>
              <w:jc w:val="center"/>
              <w:rPr>
                <w:rFonts w:hAnsi="宋体" w:cs="宋体"/>
                <w:b/>
                <w:sz w:val="18"/>
                <w:szCs w:val="18"/>
              </w:rPr>
            </w:pPr>
          </w:p>
        </w:tc>
        <w:tc>
          <w:tcPr>
            <w:tcW w:w="1611" w:type="dxa"/>
            <w:shd w:val="clear" w:color="auto" w:fill="auto"/>
            <w:vAlign w:val="center"/>
          </w:tcPr>
          <w:p>
            <w:pPr>
              <w:spacing w:line="0" w:lineRule="atLeast"/>
              <w:rPr>
                <w:rFonts w:hAnsi="宋体" w:cs="宋体"/>
                <w:sz w:val="18"/>
                <w:szCs w:val="18"/>
              </w:rPr>
            </w:pPr>
            <w:r>
              <w:rPr>
                <w:rFonts w:hint="eastAsia" w:hAnsi="宋体" w:cs="宋体"/>
                <w:sz w:val="18"/>
                <w:szCs w:val="18"/>
              </w:rPr>
              <w:t>有效联系电话</w:t>
            </w:r>
          </w:p>
        </w:tc>
        <w:tc>
          <w:tcPr>
            <w:tcW w:w="4288" w:type="dxa"/>
            <w:gridSpan w:val="18"/>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continue"/>
            <w:shd w:val="clear" w:color="auto" w:fill="F3F3F3"/>
            <w:noWrap/>
            <w:vAlign w:val="center"/>
          </w:tcPr>
          <w:p>
            <w:pPr>
              <w:spacing w:line="0" w:lineRule="atLeast"/>
              <w:ind w:left="-139" w:leftChars="-66" w:right="-105" w:rightChars="-50"/>
              <w:jc w:val="center"/>
              <w:rPr>
                <w:rFonts w:hAnsi="宋体" w:cs="宋体"/>
                <w:b/>
                <w:sz w:val="18"/>
                <w:szCs w:val="18"/>
              </w:rPr>
            </w:pPr>
          </w:p>
        </w:tc>
        <w:tc>
          <w:tcPr>
            <w:tcW w:w="1613" w:type="dxa"/>
            <w:shd w:val="clear" w:color="auto" w:fill="auto"/>
            <w:vAlign w:val="center"/>
          </w:tcPr>
          <w:p>
            <w:pPr>
              <w:widowControl/>
              <w:spacing w:line="0" w:lineRule="atLeast"/>
              <w:ind w:right="-107" w:rightChars="-51"/>
              <w:jc w:val="left"/>
              <w:rPr>
                <w:rFonts w:hAnsi="宋体" w:cs="宋体"/>
                <w:sz w:val="18"/>
                <w:szCs w:val="18"/>
              </w:rPr>
            </w:pPr>
            <w:r>
              <w:rPr>
                <w:rFonts w:hint="eastAsia" w:hAnsi="宋体" w:cs="宋体"/>
                <w:sz w:val="18"/>
                <w:szCs w:val="18"/>
              </w:rPr>
              <w:t>开户银行名称</w:t>
            </w:r>
          </w:p>
        </w:tc>
        <w:tc>
          <w:tcPr>
            <w:tcW w:w="2100" w:type="dxa"/>
            <w:shd w:val="clear" w:color="auto" w:fill="auto"/>
            <w:vAlign w:val="center"/>
          </w:tcPr>
          <w:p>
            <w:pPr>
              <w:spacing w:line="0" w:lineRule="atLeast"/>
              <w:jc w:val="center"/>
              <w:rPr>
                <w:rFonts w:hAnsi="宋体" w:cs="宋体"/>
                <w:b/>
                <w:sz w:val="18"/>
                <w:szCs w:val="18"/>
              </w:rPr>
            </w:pPr>
          </w:p>
        </w:tc>
        <w:tc>
          <w:tcPr>
            <w:tcW w:w="1611" w:type="dxa"/>
            <w:shd w:val="clear" w:color="auto" w:fill="auto"/>
            <w:vAlign w:val="center"/>
          </w:tcPr>
          <w:p>
            <w:pPr>
              <w:spacing w:line="0" w:lineRule="atLeast"/>
              <w:rPr>
                <w:rFonts w:hAnsi="宋体" w:cs="宋体"/>
                <w:sz w:val="18"/>
                <w:szCs w:val="18"/>
              </w:rPr>
            </w:pPr>
            <w:r>
              <w:rPr>
                <w:rFonts w:hint="eastAsia" w:hAnsi="宋体" w:cs="宋体"/>
                <w:sz w:val="18"/>
                <w:szCs w:val="18"/>
              </w:rPr>
              <w:t>开户银行账号</w:t>
            </w:r>
          </w:p>
        </w:tc>
        <w:tc>
          <w:tcPr>
            <w:tcW w:w="4288" w:type="dxa"/>
            <w:gridSpan w:val="18"/>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continue"/>
            <w:shd w:val="clear" w:color="auto" w:fill="F3F3F3"/>
            <w:noWrap/>
            <w:vAlign w:val="center"/>
          </w:tcPr>
          <w:p>
            <w:pPr>
              <w:spacing w:line="0" w:lineRule="atLeast"/>
              <w:ind w:left="-139" w:leftChars="-66" w:right="-105" w:rightChars="-50"/>
              <w:jc w:val="center"/>
              <w:rPr>
                <w:rFonts w:hAnsi="宋体" w:cs="宋体"/>
                <w:b/>
                <w:sz w:val="18"/>
                <w:szCs w:val="18"/>
              </w:rPr>
            </w:pPr>
          </w:p>
        </w:tc>
        <w:tc>
          <w:tcPr>
            <w:tcW w:w="1613" w:type="dxa"/>
            <w:shd w:val="clear" w:color="auto" w:fill="auto"/>
            <w:vAlign w:val="center"/>
          </w:tcPr>
          <w:p>
            <w:pPr>
              <w:spacing w:line="0" w:lineRule="atLeast"/>
              <w:ind w:left="-10" w:leftChars="-5" w:right="-107" w:rightChars="-51"/>
              <w:jc w:val="left"/>
              <w:rPr>
                <w:rFonts w:hAnsi="宋体" w:cs="宋体"/>
                <w:sz w:val="18"/>
                <w:szCs w:val="18"/>
              </w:rPr>
            </w:pPr>
            <w:r>
              <w:rPr>
                <w:rFonts w:hint="eastAsia" w:hAnsi="宋体" w:cs="宋体"/>
                <w:sz w:val="18"/>
                <w:szCs w:val="18"/>
              </w:rPr>
              <w:t>中国境内有效联系地址及邮编</w:t>
            </w:r>
          </w:p>
        </w:tc>
        <w:tc>
          <w:tcPr>
            <w:tcW w:w="7999" w:type="dxa"/>
            <w:gridSpan w:val="20"/>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restart"/>
            <w:shd w:val="clear" w:color="auto" w:fill="F3F3F3"/>
            <w:noWrap/>
            <w:vAlign w:val="center"/>
          </w:tcPr>
          <w:p>
            <w:pPr>
              <w:widowControl/>
              <w:spacing w:line="0" w:lineRule="atLeast"/>
              <w:ind w:left="-63" w:leftChars="-30" w:right="-107" w:rightChars="-51"/>
              <w:jc w:val="center"/>
              <w:rPr>
                <w:rFonts w:hAnsi="宋体" w:cs="宋体"/>
                <w:b/>
                <w:sz w:val="18"/>
                <w:szCs w:val="18"/>
              </w:rPr>
            </w:pPr>
            <w:r>
              <w:rPr>
                <w:rFonts w:hint="eastAsia" w:hAnsi="宋体" w:cs="宋体"/>
                <w:b/>
                <w:sz w:val="18"/>
                <w:szCs w:val="18"/>
              </w:rPr>
              <w:t>开户证券公司（营业部）</w:t>
            </w:r>
          </w:p>
        </w:tc>
        <w:tc>
          <w:tcPr>
            <w:tcW w:w="1613" w:type="dxa"/>
            <w:shd w:val="clear" w:color="auto" w:fill="auto"/>
            <w:vAlign w:val="center"/>
          </w:tcPr>
          <w:p>
            <w:pPr>
              <w:spacing w:line="0" w:lineRule="atLeast"/>
              <w:jc w:val="center"/>
              <w:rPr>
                <w:rFonts w:hAnsi="宋体" w:cs="宋体"/>
                <w:sz w:val="18"/>
                <w:szCs w:val="18"/>
              </w:rPr>
            </w:pPr>
            <w:r>
              <w:rPr>
                <w:rFonts w:hint="eastAsia" w:hAnsi="宋体" w:cs="宋体"/>
                <w:sz w:val="18"/>
                <w:szCs w:val="18"/>
              </w:rPr>
              <w:t>名称</w:t>
            </w:r>
          </w:p>
        </w:tc>
        <w:tc>
          <w:tcPr>
            <w:tcW w:w="2100" w:type="dxa"/>
            <w:shd w:val="clear" w:color="auto" w:fill="auto"/>
            <w:vAlign w:val="center"/>
          </w:tcPr>
          <w:p>
            <w:pPr>
              <w:spacing w:line="0" w:lineRule="atLeast"/>
              <w:jc w:val="center"/>
              <w:rPr>
                <w:rFonts w:hAnsi="宋体" w:cs="宋体"/>
                <w:b/>
                <w:sz w:val="18"/>
                <w:szCs w:val="18"/>
              </w:rPr>
            </w:pPr>
          </w:p>
        </w:tc>
        <w:tc>
          <w:tcPr>
            <w:tcW w:w="1611" w:type="dxa"/>
            <w:shd w:val="clear" w:color="auto" w:fill="auto"/>
            <w:vAlign w:val="center"/>
          </w:tcPr>
          <w:p>
            <w:pPr>
              <w:spacing w:line="0" w:lineRule="atLeast"/>
              <w:rPr>
                <w:rFonts w:hAnsi="宋体" w:cs="宋体"/>
                <w:sz w:val="18"/>
                <w:szCs w:val="18"/>
              </w:rPr>
            </w:pPr>
            <w:r>
              <w:rPr>
                <w:rFonts w:hint="eastAsia" w:hAnsi="宋体" w:cs="宋体"/>
                <w:sz w:val="18"/>
                <w:szCs w:val="18"/>
              </w:rPr>
              <w:t>扣缴义务人编码</w:t>
            </w:r>
          </w:p>
        </w:tc>
        <w:tc>
          <w:tcPr>
            <w:tcW w:w="4288" w:type="dxa"/>
            <w:gridSpan w:val="18"/>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45" w:type="dxa"/>
            <w:vMerge w:val="continue"/>
            <w:shd w:val="clear" w:color="auto" w:fill="F3F3F3"/>
            <w:noWrap/>
            <w:vAlign w:val="center"/>
          </w:tcPr>
          <w:p>
            <w:pPr>
              <w:spacing w:line="0" w:lineRule="atLeast"/>
              <w:ind w:left="-139" w:leftChars="-66" w:right="-105" w:rightChars="-50"/>
              <w:jc w:val="center"/>
              <w:rPr>
                <w:rFonts w:hAnsi="宋体" w:cs="宋体"/>
                <w:b/>
                <w:sz w:val="18"/>
                <w:szCs w:val="18"/>
              </w:rPr>
            </w:pPr>
          </w:p>
        </w:tc>
        <w:tc>
          <w:tcPr>
            <w:tcW w:w="1613" w:type="dxa"/>
            <w:shd w:val="clear" w:color="auto" w:fill="auto"/>
            <w:vAlign w:val="center"/>
          </w:tcPr>
          <w:p>
            <w:pPr>
              <w:spacing w:line="0" w:lineRule="atLeast"/>
              <w:ind w:left="-139" w:leftChars="-66" w:right="-105" w:rightChars="-50"/>
              <w:jc w:val="center"/>
              <w:rPr>
                <w:rFonts w:hAnsi="宋体" w:cs="宋体"/>
                <w:sz w:val="18"/>
                <w:szCs w:val="18"/>
              </w:rPr>
            </w:pPr>
            <w:r>
              <w:rPr>
                <w:rFonts w:hint="eastAsia" w:hAnsi="宋体" w:cs="宋体"/>
                <w:sz w:val="18"/>
                <w:szCs w:val="18"/>
              </w:rPr>
              <w:t>地址</w:t>
            </w:r>
          </w:p>
        </w:tc>
        <w:tc>
          <w:tcPr>
            <w:tcW w:w="2100" w:type="dxa"/>
            <w:shd w:val="clear" w:color="auto" w:fill="auto"/>
            <w:vAlign w:val="center"/>
          </w:tcPr>
          <w:p>
            <w:pPr>
              <w:spacing w:line="0" w:lineRule="atLeast"/>
              <w:jc w:val="center"/>
              <w:rPr>
                <w:rFonts w:hAnsi="宋体" w:cs="宋体"/>
                <w:b/>
                <w:sz w:val="18"/>
                <w:szCs w:val="18"/>
              </w:rPr>
            </w:pPr>
          </w:p>
        </w:tc>
        <w:tc>
          <w:tcPr>
            <w:tcW w:w="1611" w:type="dxa"/>
            <w:shd w:val="clear" w:color="auto" w:fill="auto"/>
            <w:vAlign w:val="center"/>
          </w:tcPr>
          <w:p>
            <w:pPr>
              <w:spacing w:line="0" w:lineRule="atLeast"/>
              <w:rPr>
                <w:rFonts w:hAnsi="宋体" w:cs="宋体"/>
                <w:b/>
                <w:sz w:val="18"/>
                <w:szCs w:val="18"/>
              </w:rPr>
            </w:pPr>
            <w:r>
              <w:rPr>
                <w:rFonts w:hint="eastAsia" w:hAnsi="宋体" w:cs="宋体"/>
                <w:sz w:val="18"/>
                <w:szCs w:val="18"/>
              </w:rPr>
              <w:t>邮编</w:t>
            </w:r>
          </w:p>
        </w:tc>
        <w:tc>
          <w:tcPr>
            <w:tcW w:w="4288" w:type="dxa"/>
            <w:gridSpan w:val="18"/>
            <w:shd w:val="clear" w:color="auto" w:fill="auto"/>
            <w:vAlign w:val="center"/>
          </w:tcPr>
          <w:p>
            <w:pPr>
              <w:spacing w:line="0" w:lineRule="atLeast"/>
              <w:jc w:val="center"/>
              <w:rPr>
                <w:rFonts w:hAnsi="宋体" w:cs="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restart"/>
            <w:tcBorders>
              <w:top w:val="single" w:color="auto" w:sz="4" w:space="0"/>
            </w:tcBorders>
            <w:shd w:val="clear" w:color="auto" w:fill="F3F3F3"/>
            <w:noWrap/>
            <w:vAlign w:val="center"/>
          </w:tcPr>
          <w:p>
            <w:pPr>
              <w:spacing w:line="0" w:lineRule="atLeast"/>
              <w:jc w:val="left"/>
              <w:rPr>
                <w:rFonts w:hAnsi="宋体" w:cs="宋体"/>
                <w:b/>
                <w:sz w:val="18"/>
                <w:szCs w:val="18"/>
              </w:rPr>
            </w:pPr>
            <w:r>
              <w:rPr>
                <w:rFonts w:hint="eastAsia" w:hAnsi="宋体" w:cs="宋体"/>
                <w:b/>
                <w:sz w:val="18"/>
                <w:szCs w:val="18"/>
              </w:rPr>
              <w:t>限售股转让收入及纳税情况</w:t>
            </w:r>
          </w:p>
        </w:tc>
        <w:tc>
          <w:tcPr>
            <w:tcW w:w="1613" w:type="dxa"/>
            <w:tcBorders>
              <w:top w:val="single" w:color="auto" w:sz="4" w:space="0"/>
            </w:tcBorders>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股票代码</w:t>
            </w:r>
          </w:p>
        </w:tc>
        <w:tc>
          <w:tcPr>
            <w:tcW w:w="2100" w:type="dxa"/>
            <w:tcBorders>
              <w:top w:val="single" w:color="auto" w:sz="4" w:space="0"/>
            </w:tcBorders>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1</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股票名称</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2</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转让股数(股)</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3</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实际转让收入额</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4</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限售股原值和</w:t>
            </w:r>
          </w:p>
          <w:p>
            <w:pPr>
              <w:widowControl/>
              <w:spacing w:line="0" w:lineRule="atLeast"/>
              <w:jc w:val="left"/>
              <w:rPr>
                <w:rFonts w:hAnsi="宋体" w:cs="宋体"/>
                <w:sz w:val="18"/>
                <w:szCs w:val="18"/>
              </w:rPr>
            </w:pPr>
            <w:r>
              <w:rPr>
                <w:rFonts w:hint="eastAsia" w:hAnsi="宋体" w:cs="宋体"/>
                <w:sz w:val="18"/>
                <w:szCs w:val="18"/>
              </w:rPr>
              <w:t>合理税费小计</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5=6+7</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ind w:firstLine="360" w:firstLineChars="200"/>
              <w:jc w:val="left"/>
              <w:rPr>
                <w:rFonts w:hAnsi="宋体" w:cs="宋体"/>
                <w:sz w:val="18"/>
                <w:szCs w:val="18"/>
              </w:rPr>
            </w:pPr>
            <w:r>
              <w:rPr>
                <w:rFonts w:hint="eastAsia" w:hAnsi="宋体" w:cs="宋体"/>
                <w:sz w:val="18"/>
                <w:szCs w:val="18"/>
              </w:rPr>
              <w:t>限售股原值</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6</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ind w:firstLine="360" w:firstLineChars="200"/>
              <w:jc w:val="left"/>
              <w:rPr>
                <w:rFonts w:hAnsi="宋体" w:cs="宋体"/>
                <w:sz w:val="18"/>
                <w:szCs w:val="18"/>
              </w:rPr>
            </w:pPr>
            <w:r>
              <w:rPr>
                <w:rFonts w:hint="eastAsia" w:hAnsi="宋体" w:cs="宋体"/>
                <w:sz w:val="18"/>
                <w:szCs w:val="18"/>
              </w:rPr>
              <w:t>合理税费</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7</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应纳税所得额</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8 = 4-5</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税率</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9</w:t>
            </w:r>
          </w:p>
        </w:tc>
        <w:tc>
          <w:tcPr>
            <w:tcW w:w="5899" w:type="dxa"/>
            <w:gridSpan w:val="19"/>
            <w:shd w:val="clear" w:color="auto" w:fill="auto"/>
            <w:noWrap/>
            <w:vAlign w:val="center"/>
          </w:tcPr>
          <w:p>
            <w:pPr>
              <w:widowControl/>
              <w:spacing w:line="0" w:lineRule="atLeast"/>
              <w:jc w:val="center"/>
              <w:rPr>
                <w:rFonts w:hAnsi="宋体" w:cs="宋体"/>
                <w:szCs w:val="21"/>
              </w:rPr>
            </w:pPr>
            <w:r>
              <w:rPr>
                <w:rFonts w:hint="eastAsia" w:hAnsi="宋体" w:cs="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应纳税额</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10 = 8×9</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已扣缴税额</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11</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645" w:type="dxa"/>
            <w:vMerge w:val="continue"/>
            <w:shd w:val="clear" w:color="auto" w:fill="F3F3F3"/>
            <w:noWrap/>
            <w:vAlign w:val="center"/>
          </w:tcPr>
          <w:p>
            <w:pPr>
              <w:spacing w:line="0" w:lineRule="atLeast"/>
              <w:jc w:val="left"/>
              <w:rPr>
                <w:rFonts w:hAnsi="宋体" w:cs="宋体"/>
                <w:b/>
                <w:sz w:val="18"/>
                <w:szCs w:val="18"/>
              </w:rPr>
            </w:pPr>
          </w:p>
        </w:tc>
        <w:tc>
          <w:tcPr>
            <w:tcW w:w="1613" w:type="dxa"/>
            <w:shd w:val="clear" w:color="auto" w:fill="auto"/>
            <w:vAlign w:val="center"/>
          </w:tcPr>
          <w:p>
            <w:pPr>
              <w:widowControl/>
              <w:spacing w:line="0" w:lineRule="atLeast"/>
              <w:jc w:val="left"/>
              <w:rPr>
                <w:rFonts w:hAnsi="宋体" w:cs="宋体"/>
                <w:sz w:val="18"/>
                <w:szCs w:val="18"/>
              </w:rPr>
            </w:pPr>
            <w:r>
              <w:rPr>
                <w:rFonts w:hint="eastAsia" w:hAnsi="宋体" w:cs="宋体"/>
                <w:sz w:val="18"/>
                <w:szCs w:val="18"/>
              </w:rPr>
              <w:t>应退（补）税额</w:t>
            </w:r>
          </w:p>
        </w:tc>
        <w:tc>
          <w:tcPr>
            <w:tcW w:w="2100" w:type="dxa"/>
            <w:shd w:val="clear" w:color="auto" w:fill="auto"/>
            <w:vAlign w:val="center"/>
          </w:tcPr>
          <w:p>
            <w:pPr>
              <w:widowControl/>
              <w:spacing w:line="0" w:lineRule="atLeast"/>
              <w:jc w:val="center"/>
              <w:rPr>
                <w:rFonts w:hAnsi="宋体" w:cs="宋体"/>
                <w:sz w:val="18"/>
                <w:szCs w:val="18"/>
              </w:rPr>
            </w:pPr>
            <w:r>
              <w:rPr>
                <w:rFonts w:hint="eastAsia" w:hAnsi="宋体" w:cs="宋体"/>
                <w:sz w:val="18"/>
                <w:szCs w:val="18"/>
              </w:rPr>
              <w:t>12=10-11</w:t>
            </w:r>
          </w:p>
        </w:tc>
        <w:tc>
          <w:tcPr>
            <w:tcW w:w="5899" w:type="dxa"/>
            <w:gridSpan w:val="19"/>
            <w:shd w:val="clear" w:color="auto" w:fill="auto"/>
            <w:noWrap/>
            <w:vAlign w:val="center"/>
          </w:tcPr>
          <w:p>
            <w:pPr>
              <w:widowControl/>
              <w:spacing w:line="0" w:lineRule="atLeast"/>
              <w:jc w:val="center"/>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645" w:type="dxa"/>
            <w:tcBorders>
              <w:bottom w:val="single" w:color="auto" w:sz="4" w:space="0"/>
            </w:tcBorders>
            <w:shd w:val="clear" w:color="auto" w:fill="F3F3F3"/>
            <w:noWrap/>
            <w:vAlign w:val="center"/>
          </w:tcPr>
          <w:p>
            <w:pPr>
              <w:spacing w:line="0" w:lineRule="atLeast"/>
              <w:jc w:val="center"/>
              <w:rPr>
                <w:b/>
                <w:sz w:val="18"/>
                <w:szCs w:val="18"/>
              </w:rPr>
            </w:pPr>
            <w:r>
              <w:rPr>
                <w:rFonts w:hint="eastAsia"/>
                <w:b/>
                <w:sz w:val="18"/>
                <w:szCs w:val="18"/>
              </w:rPr>
              <w:t>声</w:t>
            </w:r>
          </w:p>
          <w:p>
            <w:pPr>
              <w:spacing w:line="0" w:lineRule="atLeast"/>
              <w:jc w:val="center"/>
              <w:rPr>
                <w:b/>
                <w:sz w:val="18"/>
                <w:szCs w:val="18"/>
              </w:rPr>
            </w:pPr>
            <w:r>
              <w:rPr>
                <w:rFonts w:hint="eastAsia"/>
                <w:b/>
                <w:sz w:val="18"/>
                <w:szCs w:val="18"/>
              </w:rPr>
              <w:t>明</w:t>
            </w:r>
          </w:p>
        </w:tc>
        <w:tc>
          <w:tcPr>
            <w:tcW w:w="9612" w:type="dxa"/>
            <w:gridSpan w:val="21"/>
            <w:tcBorders>
              <w:bottom w:val="single" w:color="auto" w:sz="4" w:space="0"/>
            </w:tcBorders>
            <w:shd w:val="clear" w:color="auto" w:fill="auto"/>
            <w:vAlign w:val="center"/>
          </w:tcPr>
          <w:p>
            <w:pPr>
              <w:spacing w:line="0" w:lineRule="atLeast"/>
              <w:ind w:firstLine="360" w:firstLineChars="200"/>
              <w:rPr>
                <w:b/>
                <w:sz w:val="18"/>
                <w:szCs w:val="18"/>
              </w:rPr>
            </w:pP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vanish/>
                <w:sz w:val="18"/>
                <w:szCs w:val="18"/>
              </w:rPr>
              <w:pgNum/>
            </w:r>
            <w:r>
              <w:rPr>
                <w:rFonts w:hint="eastAsia"/>
                <w:sz w:val="18"/>
                <w:szCs w:val="18"/>
              </w:rPr>
              <w:t>我声明，此纳税申报表及所附资料是根据《中华人民共和国个人所得税法》及相关法律法规规定填写、报送的，我确保上述资料是真实的、可靠的、完整的。</w:t>
            </w:r>
          </w:p>
          <w:p>
            <w:pPr>
              <w:spacing w:line="0" w:lineRule="atLeast"/>
              <w:jc w:val="center"/>
              <w:rPr>
                <w:sz w:val="18"/>
                <w:szCs w:val="18"/>
              </w:rPr>
            </w:pPr>
            <w:r>
              <w:rPr>
                <w:rFonts w:hint="eastAsia"/>
                <w:b/>
                <w:sz w:val="18"/>
                <w:szCs w:val="18"/>
              </w:rPr>
              <w:t xml:space="preserve">                            纳税人</w:t>
            </w:r>
            <w:r>
              <w:rPr>
                <w:sz w:val="18"/>
                <w:szCs w:val="18"/>
              </w:rPr>
              <w:t>(</w:t>
            </w:r>
            <w:r>
              <w:rPr>
                <w:rFonts w:hint="eastAsia"/>
                <w:sz w:val="18"/>
                <w:szCs w:val="18"/>
              </w:rPr>
              <w:t>签字</w:t>
            </w:r>
            <w:r>
              <w:rPr>
                <w:sz w:val="18"/>
                <w:szCs w:val="18"/>
              </w:rPr>
              <w:t>)</w:t>
            </w:r>
          </w:p>
          <w:p>
            <w:pPr>
              <w:spacing w:line="0" w:lineRule="atLeast"/>
              <w:rPr>
                <w:sz w:val="18"/>
                <w:szCs w:val="18"/>
              </w:rPr>
            </w:pPr>
            <w:r>
              <w:rPr>
                <w:rFonts w:hint="eastAsia"/>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exact"/>
          <w:jc w:val="center"/>
        </w:trPr>
        <w:tc>
          <w:tcPr>
            <w:tcW w:w="5969" w:type="dxa"/>
            <w:gridSpan w:val="4"/>
            <w:shd w:val="clear" w:color="auto" w:fill="auto"/>
            <w:noWrap/>
            <w:vAlign w:val="center"/>
          </w:tcPr>
          <w:p>
            <w:pPr>
              <w:widowControl/>
              <w:spacing w:line="0" w:lineRule="atLeast"/>
              <w:rPr>
                <w:rFonts w:hAnsi="宋体" w:cs="宋体"/>
                <w:sz w:val="18"/>
                <w:szCs w:val="18"/>
              </w:rPr>
            </w:pPr>
            <w:r>
              <w:rPr>
                <w:rFonts w:hint="eastAsia" w:hAnsi="宋体" w:cs="宋体"/>
                <w:sz w:val="18"/>
                <w:szCs w:val="18"/>
              </w:rPr>
              <w:t>代理人（中介机构）签字或盖章：</w:t>
            </w:r>
          </w:p>
          <w:p>
            <w:pPr>
              <w:widowControl/>
              <w:spacing w:line="0" w:lineRule="atLeast"/>
              <w:rPr>
                <w:rFonts w:hAnsi="宋体" w:cs="宋体"/>
                <w:sz w:val="18"/>
                <w:szCs w:val="18"/>
              </w:rPr>
            </w:pPr>
            <w:r>
              <w:rPr>
                <w:rFonts w:hint="eastAsia" w:hAnsi="宋体" w:cs="宋体"/>
                <w:sz w:val="18"/>
                <w:szCs w:val="18"/>
              </w:rPr>
              <w:t>经办人：</w:t>
            </w:r>
          </w:p>
          <w:p>
            <w:pPr>
              <w:widowControl/>
              <w:spacing w:line="0" w:lineRule="atLeast"/>
              <w:rPr>
                <w:rFonts w:hAnsi="宋体" w:cs="宋体"/>
                <w:sz w:val="18"/>
                <w:szCs w:val="18"/>
              </w:rPr>
            </w:pPr>
            <w:r>
              <w:rPr>
                <w:rFonts w:hint="eastAsia" w:hAnsi="宋体" w:cs="宋体"/>
                <w:sz w:val="18"/>
                <w:szCs w:val="18"/>
              </w:rPr>
              <w:t>经办人执业证件号码：</w:t>
            </w:r>
          </w:p>
          <w:p>
            <w:pPr>
              <w:widowControl/>
              <w:spacing w:line="0" w:lineRule="atLeast"/>
              <w:rPr>
                <w:rFonts w:hAnsi="宋体" w:cs="宋体"/>
                <w:sz w:val="18"/>
                <w:szCs w:val="18"/>
              </w:rPr>
            </w:pPr>
            <w:r>
              <w:rPr>
                <w:rFonts w:hint="eastAsia" w:hAnsi="宋体" w:cs="宋体"/>
                <w:sz w:val="18"/>
                <w:szCs w:val="18"/>
              </w:rPr>
              <w:t>代理申报日期：    年  月  日</w:t>
            </w:r>
          </w:p>
        </w:tc>
        <w:tc>
          <w:tcPr>
            <w:tcW w:w="4288" w:type="dxa"/>
            <w:gridSpan w:val="18"/>
            <w:shd w:val="clear" w:color="auto" w:fill="auto"/>
            <w:noWrap/>
            <w:vAlign w:val="center"/>
          </w:tcPr>
          <w:p>
            <w:pPr>
              <w:widowControl/>
              <w:spacing w:line="0" w:lineRule="atLeast"/>
              <w:rPr>
                <w:sz w:val="18"/>
                <w:szCs w:val="18"/>
              </w:rPr>
            </w:pPr>
            <w:r>
              <w:rPr>
                <w:rFonts w:hint="eastAsia"/>
                <w:sz w:val="18"/>
                <w:szCs w:val="18"/>
              </w:rPr>
              <w:t>主管税务机关受理专用章：</w:t>
            </w:r>
          </w:p>
          <w:p>
            <w:pPr>
              <w:widowControl/>
              <w:spacing w:line="0" w:lineRule="atLeast"/>
              <w:rPr>
                <w:sz w:val="18"/>
                <w:szCs w:val="18"/>
              </w:rPr>
            </w:pPr>
          </w:p>
          <w:p>
            <w:pPr>
              <w:widowControl/>
              <w:spacing w:line="0" w:lineRule="atLeast"/>
              <w:rPr>
                <w:sz w:val="18"/>
                <w:szCs w:val="18"/>
              </w:rPr>
            </w:pPr>
            <w:r>
              <w:rPr>
                <w:rFonts w:hint="eastAsia"/>
                <w:sz w:val="18"/>
                <w:szCs w:val="18"/>
              </w:rPr>
              <w:t>受理人：</w:t>
            </w:r>
          </w:p>
          <w:p>
            <w:pPr>
              <w:widowControl/>
              <w:spacing w:line="0" w:lineRule="atLeast"/>
              <w:rPr>
                <w:rFonts w:hAnsi="宋体" w:cs="宋体"/>
                <w:sz w:val="18"/>
                <w:szCs w:val="18"/>
              </w:rPr>
            </w:pPr>
            <w:r>
              <w:rPr>
                <w:rFonts w:hint="eastAsia"/>
                <w:sz w:val="18"/>
                <w:szCs w:val="18"/>
              </w:rPr>
              <w:t>受理时间：</w:t>
            </w:r>
            <w:r>
              <w:rPr>
                <w:sz w:val="18"/>
                <w:szCs w:val="18"/>
              </w:rPr>
              <w:t xml:space="preserve">   </w:t>
            </w:r>
            <w:r>
              <w:rPr>
                <w:rFonts w:hint="eastAsia"/>
                <w:sz w:val="18"/>
                <w:szCs w:val="18"/>
              </w:rPr>
              <w:t xml:space="preserve"> </w:t>
            </w:r>
            <w:r>
              <w:rPr>
                <w:sz w:val="18"/>
                <w:szCs w:val="18"/>
              </w:rPr>
              <w:t xml:space="preserve"> </w:t>
            </w:r>
            <w:r>
              <w:rPr>
                <w:rFonts w:hint="eastAsia"/>
                <w:sz w:val="18"/>
                <w:szCs w:val="18"/>
              </w:rPr>
              <w:t>年</w:t>
            </w:r>
            <w:r>
              <w:rPr>
                <w:sz w:val="18"/>
                <w:szCs w:val="18"/>
              </w:rPr>
              <w:t xml:space="preserve">   </w:t>
            </w:r>
            <w:r>
              <w:rPr>
                <w:rFonts w:hint="eastAsia"/>
                <w:sz w:val="18"/>
                <w:szCs w:val="18"/>
              </w:rPr>
              <w:t xml:space="preserve"> </w:t>
            </w:r>
            <w:r>
              <w:rPr>
                <w:sz w:val="18"/>
                <w:szCs w:val="18"/>
              </w:rPr>
              <w:t xml:space="preserve"> </w:t>
            </w:r>
            <w:r>
              <w:rPr>
                <w:rFonts w:hint="eastAsia"/>
                <w:sz w:val="18"/>
                <w:szCs w:val="18"/>
              </w:rPr>
              <w:t>月</w:t>
            </w:r>
            <w:r>
              <w:rPr>
                <w:sz w:val="18"/>
                <w:szCs w:val="18"/>
              </w:rPr>
              <w:t xml:space="preserve">  </w:t>
            </w:r>
            <w:r>
              <w:rPr>
                <w:rFonts w:hint="eastAsia"/>
                <w:sz w:val="18"/>
                <w:szCs w:val="18"/>
              </w:rPr>
              <w:t xml:space="preserve">  日</w:t>
            </w:r>
          </w:p>
        </w:tc>
      </w:tr>
    </w:tbl>
    <w:p>
      <w:pPr>
        <w:jc w:val="right"/>
        <w:rPr>
          <w:rFonts w:eastAsia="华文中宋"/>
          <w:sz w:val="18"/>
          <w:szCs w:val="18"/>
        </w:rPr>
      </w:pPr>
      <w:r>
        <w:rPr>
          <w:rFonts w:hint="default" w:eastAsia="华文中宋"/>
          <w:sz w:val="18"/>
          <w:szCs w:val="18"/>
          <w:lang w:val="en"/>
        </w:rPr>
        <w:t xml:space="preserve">   </w:t>
      </w:r>
      <w:r>
        <w:rPr>
          <w:rFonts w:hint="eastAsia" w:eastAsia="华文中宋"/>
          <w:sz w:val="18"/>
          <w:szCs w:val="18"/>
        </w:rPr>
        <w:t>国家税务总局监制</w:t>
      </w:r>
    </w:p>
    <w:p>
      <w:pPr>
        <w:jc w:val="center"/>
        <w:rPr>
          <w:rFonts w:hint="eastAsia" w:eastAsia="华文中宋"/>
          <w:b/>
          <w:sz w:val="32"/>
          <w:szCs w:val="32"/>
        </w:rPr>
      </w:pPr>
    </w:p>
    <w:p>
      <w:pPr>
        <w:jc w:val="center"/>
        <w:rPr>
          <w:rFonts w:eastAsia="华文中宋"/>
          <w:b/>
          <w:sz w:val="32"/>
          <w:szCs w:val="32"/>
        </w:rPr>
      </w:pPr>
      <w:r>
        <w:rPr>
          <w:rFonts w:hint="eastAsia" w:eastAsia="华文中宋"/>
          <w:b/>
          <w:sz w:val="32"/>
          <w:szCs w:val="32"/>
        </w:rPr>
        <w:t>填表须知</w:t>
      </w:r>
    </w:p>
    <w:p>
      <w:pPr>
        <w:jc w:val="center"/>
        <w:rPr>
          <w:rFonts w:eastAsia="华文中宋"/>
          <w:b/>
          <w:sz w:val="10"/>
          <w:szCs w:val="10"/>
        </w:rPr>
      </w:pPr>
    </w:p>
    <w:p>
      <w:pPr>
        <w:ind w:firstLine="420" w:firstLineChars="200"/>
        <w:rPr>
          <w:rFonts w:ascii="宋体" w:hAnsi="宋体"/>
          <w:sz w:val="21"/>
          <w:szCs w:val="21"/>
        </w:rPr>
      </w:pPr>
      <w:r>
        <w:rPr>
          <w:rFonts w:hint="eastAsia" w:ascii="宋体" w:hAnsi="宋体"/>
          <w:sz w:val="21"/>
          <w:szCs w:val="21"/>
        </w:rPr>
        <w:t>一、本表根据《中华人民共和国个人所得税法》及其实施条例和相关文件制定，适用于纳税人取得限售股转让所得已预扣预缴个人所得税款的清算申报，本表按月填写。</w:t>
      </w:r>
    </w:p>
    <w:p>
      <w:pPr>
        <w:ind w:firstLine="420" w:firstLineChars="200"/>
        <w:rPr>
          <w:rFonts w:ascii="宋体" w:hAnsi="宋体"/>
          <w:sz w:val="21"/>
          <w:szCs w:val="21"/>
        </w:rPr>
      </w:pPr>
      <w:r>
        <w:rPr>
          <w:rFonts w:hint="eastAsia" w:ascii="宋体" w:hAnsi="宋体"/>
          <w:sz w:val="21"/>
          <w:szCs w:val="21"/>
        </w:rPr>
        <w:t>二、向主管税务机关提出限售股转让所得个人所得税清算申请的纳税人，应在证券机构代扣并解缴税款的次月1日起3个月内，由本人或者委托他人向主管税务机关报送本表。不能按照规定期限报送本表时，应当在规定的报送期限内提出申请，经当地税务机关批准，可以适当延期。</w:t>
      </w:r>
    </w:p>
    <w:p>
      <w:pPr>
        <w:ind w:firstLine="420" w:firstLineChars="200"/>
        <w:rPr>
          <w:rFonts w:ascii="宋体" w:hAnsi="宋体"/>
          <w:sz w:val="21"/>
          <w:szCs w:val="21"/>
        </w:rPr>
      </w:pPr>
      <w:r>
        <w:rPr>
          <w:rFonts w:hint="eastAsia" w:ascii="宋体" w:hAnsi="宋体"/>
          <w:sz w:val="21"/>
          <w:szCs w:val="21"/>
        </w:rPr>
        <w:t>三、向主管税务机关提出限售股转让所得清算申请的纳税人，应区别限售股股票种类，按每一股票填写本表。即，同一限售股填写一张表。</w:t>
      </w:r>
    </w:p>
    <w:p>
      <w:pPr>
        <w:ind w:firstLine="420" w:firstLineChars="200"/>
        <w:rPr>
          <w:rFonts w:ascii="宋体" w:hAnsi="宋体"/>
          <w:sz w:val="21"/>
          <w:szCs w:val="21"/>
        </w:rPr>
      </w:pPr>
      <w:r>
        <w:rPr>
          <w:rFonts w:hint="eastAsia" w:ascii="宋体" w:hAnsi="宋体"/>
          <w:sz w:val="21"/>
          <w:szCs w:val="21"/>
        </w:rPr>
        <w:t>四、填写本表应当使用中文。</w:t>
      </w:r>
    </w:p>
    <w:p>
      <w:pPr>
        <w:ind w:firstLine="420" w:firstLineChars="200"/>
        <w:rPr>
          <w:rFonts w:ascii="宋体" w:hAnsi="宋体"/>
          <w:sz w:val="21"/>
          <w:szCs w:val="21"/>
        </w:rPr>
      </w:pPr>
      <w:r>
        <w:rPr>
          <w:rFonts w:hint="eastAsia" w:ascii="宋体" w:hAnsi="宋体"/>
          <w:sz w:val="21"/>
          <w:szCs w:val="21"/>
        </w:rPr>
        <w:t>五、纳税人在向主管税务机关办理清算事宜时，除填报本表外，还应出示纳税人本人的有效身份证照原件，并附送以下资料：</w:t>
      </w:r>
    </w:p>
    <w:p>
      <w:pPr>
        <w:ind w:firstLine="420" w:firstLineChars="200"/>
        <w:rPr>
          <w:rFonts w:ascii="宋体" w:hAnsi="宋体"/>
          <w:sz w:val="21"/>
          <w:szCs w:val="21"/>
        </w:rPr>
      </w:pPr>
      <w:r>
        <w:rPr>
          <w:rFonts w:hint="eastAsia" w:ascii="宋体" w:hAnsi="宋体"/>
          <w:sz w:val="21"/>
          <w:szCs w:val="21"/>
        </w:rPr>
        <w:t>1、加盖开户证券机构印章的限售股交易明细记录；</w:t>
      </w:r>
    </w:p>
    <w:p>
      <w:pPr>
        <w:ind w:firstLine="420" w:firstLineChars="200"/>
        <w:rPr>
          <w:rFonts w:ascii="宋体" w:hAnsi="宋体"/>
          <w:sz w:val="21"/>
          <w:szCs w:val="21"/>
        </w:rPr>
      </w:pPr>
      <w:r>
        <w:rPr>
          <w:rFonts w:hint="eastAsia" w:ascii="宋体" w:hAnsi="宋体"/>
          <w:sz w:val="21"/>
          <w:szCs w:val="21"/>
        </w:rPr>
        <w:t xml:space="preserve">2、相关完整、真实的财产原值凭证； </w:t>
      </w:r>
    </w:p>
    <w:p>
      <w:pPr>
        <w:ind w:firstLine="420" w:firstLineChars="200"/>
        <w:rPr>
          <w:rFonts w:ascii="宋体" w:hAnsi="宋体"/>
          <w:sz w:val="21"/>
          <w:szCs w:val="21"/>
        </w:rPr>
      </w:pPr>
      <w:r>
        <w:rPr>
          <w:rFonts w:hint="eastAsia" w:ascii="宋体" w:hAnsi="宋体"/>
          <w:sz w:val="21"/>
          <w:szCs w:val="21"/>
        </w:rPr>
        <w:t>3、缴纳税款凭证（《税务代保管资金专用收据》或《税收转账专用完税证》）；</w:t>
      </w:r>
    </w:p>
    <w:p>
      <w:pPr>
        <w:ind w:firstLine="420" w:firstLineChars="200"/>
        <w:rPr>
          <w:rFonts w:ascii="宋体" w:hAnsi="宋体"/>
          <w:sz w:val="21"/>
          <w:szCs w:val="21"/>
        </w:rPr>
      </w:pPr>
      <w:r>
        <w:rPr>
          <w:rFonts w:hint="eastAsia" w:ascii="宋体" w:hAnsi="宋体"/>
          <w:sz w:val="21"/>
          <w:szCs w:val="21"/>
        </w:rPr>
        <w:t>4、税务机关要求报送的其他资料。</w:t>
      </w:r>
    </w:p>
    <w:p>
      <w:pPr>
        <w:ind w:firstLine="420" w:firstLineChars="200"/>
        <w:rPr>
          <w:rFonts w:ascii="宋体" w:hAnsi="宋体"/>
          <w:sz w:val="21"/>
          <w:szCs w:val="21"/>
        </w:rPr>
      </w:pPr>
      <w:r>
        <w:rPr>
          <w:rFonts w:hint="eastAsia" w:ascii="宋体" w:hAnsi="宋体"/>
          <w:sz w:val="21"/>
          <w:szCs w:val="21"/>
        </w:rPr>
        <w:t>纳税人委托中介机构或他人代理申报的，除提供上述资料外，代理人还应出示代理人的有效身份证照，并附送纳税人委托代理申报的授权书。</w:t>
      </w:r>
    </w:p>
    <w:p>
      <w:pPr>
        <w:ind w:firstLine="420" w:firstLineChars="200"/>
        <w:rPr>
          <w:rFonts w:ascii="宋体" w:hAnsi="宋体"/>
          <w:sz w:val="21"/>
          <w:szCs w:val="21"/>
        </w:rPr>
      </w:pPr>
      <w:r>
        <w:rPr>
          <w:rFonts w:hint="eastAsia" w:ascii="宋体" w:hAnsi="宋体"/>
          <w:sz w:val="21"/>
          <w:szCs w:val="21"/>
        </w:rPr>
        <w:t>六、本表各栏的填写说明如下：</w:t>
      </w:r>
    </w:p>
    <w:p>
      <w:pPr>
        <w:ind w:firstLine="420" w:firstLineChars="200"/>
        <w:rPr>
          <w:rFonts w:ascii="宋体" w:hAnsi="宋体"/>
          <w:sz w:val="21"/>
          <w:szCs w:val="21"/>
        </w:rPr>
      </w:pPr>
      <w:r>
        <w:rPr>
          <w:rFonts w:hint="eastAsia" w:ascii="宋体" w:hAnsi="宋体"/>
          <w:sz w:val="21"/>
          <w:szCs w:val="21"/>
        </w:rPr>
        <w:t>（一）填表日期：填写纳税人办理清算申报的实际日期。</w:t>
      </w:r>
    </w:p>
    <w:p>
      <w:pPr>
        <w:ind w:firstLine="420" w:firstLineChars="200"/>
        <w:rPr>
          <w:rFonts w:ascii="宋体" w:hAnsi="宋体"/>
          <w:sz w:val="21"/>
          <w:szCs w:val="21"/>
        </w:rPr>
      </w:pPr>
      <w:r>
        <w:rPr>
          <w:rFonts w:hint="eastAsia" w:ascii="宋体" w:hAnsi="宋体"/>
          <w:sz w:val="21"/>
          <w:szCs w:val="21"/>
        </w:rPr>
        <w:t>（二）税款所属期</w:t>
      </w:r>
      <w:r>
        <w:rPr>
          <w:rFonts w:ascii="宋体" w:hAnsi="宋体"/>
          <w:sz w:val="21"/>
          <w:szCs w:val="21"/>
        </w:rPr>
        <w:t>:</w:t>
      </w:r>
      <w:r>
        <w:rPr>
          <w:rFonts w:hint="eastAsia" w:ascii="宋体" w:hAnsi="宋体"/>
          <w:sz w:val="21"/>
          <w:szCs w:val="21"/>
        </w:rPr>
        <w:t>填写纳税人实际取得所得的年度、月份和日期。</w:t>
      </w:r>
    </w:p>
    <w:p>
      <w:pPr>
        <w:ind w:firstLine="420" w:firstLineChars="200"/>
        <w:rPr>
          <w:rFonts w:ascii="宋体" w:hAnsi="宋体"/>
          <w:sz w:val="21"/>
          <w:szCs w:val="21"/>
        </w:rPr>
      </w:pPr>
      <w:r>
        <w:rPr>
          <w:rFonts w:hint="eastAsia" w:ascii="宋体" w:hAnsi="宋体"/>
          <w:sz w:val="21"/>
          <w:szCs w:val="21"/>
        </w:rPr>
        <w:t>（三）纳税人基本情况的填写：</w:t>
      </w:r>
    </w:p>
    <w:p>
      <w:pPr>
        <w:ind w:firstLine="420" w:firstLineChars="200"/>
        <w:rPr>
          <w:rFonts w:ascii="宋体" w:hAnsi="宋体"/>
          <w:sz w:val="21"/>
          <w:szCs w:val="21"/>
        </w:rPr>
      </w:pPr>
      <w:r>
        <w:rPr>
          <w:rFonts w:hint="eastAsia" w:ascii="宋体" w:hAnsi="宋体"/>
          <w:sz w:val="21"/>
          <w:szCs w:val="21"/>
        </w:rPr>
        <w:t>1.证券账户号：填写纳税人证券账户卡上的证券账户号。转让的限售股是在上海交易所上市的，填写证券账户卡（上海）上的证券账户号；转让的限售股是在深圳交易所上市的，填写证券账户卡（深圳）上的证券账户号。</w:t>
      </w:r>
    </w:p>
    <w:p>
      <w:pPr>
        <w:ind w:firstLine="420" w:firstLineChars="200"/>
        <w:rPr>
          <w:rFonts w:ascii="宋体" w:hAnsi="宋体"/>
          <w:sz w:val="21"/>
          <w:szCs w:val="21"/>
        </w:rPr>
      </w:pPr>
      <w:r>
        <w:rPr>
          <w:rFonts w:hint="eastAsia" w:ascii="宋体" w:hAnsi="宋体"/>
          <w:sz w:val="21"/>
          <w:szCs w:val="21"/>
        </w:rPr>
        <w:t>2.有效身份证照类型：填写纳税人的有效身份证件（居民身份证、军人身份证件等）名称。</w:t>
      </w:r>
    </w:p>
    <w:p>
      <w:pPr>
        <w:ind w:firstLine="420" w:firstLineChars="200"/>
        <w:rPr>
          <w:rFonts w:ascii="宋体" w:hAnsi="宋体"/>
          <w:sz w:val="21"/>
          <w:szCs w:val="21"/>
        </w:rPr>
      </w:pPr>
      <w:r>
        <w:rPr>
          <w:rFonts w:hint="eastAsia" w:ascii="宋体" w:hAnsi="宋体"/>
          <w:sz w:val="21"/>
          <w:szCs w:val="21"/>
        </w:rPr>
        <w:t>3.有效身份证照号码：填写纳税人有效身份证照上的号码。</w:t>
      </w:r>
    </w:p>
    <w:p>
      <w:pPr>
        <w:ind w:firstLine="420" w:firstLineChars="200"/>
        <w:rPr>
          <w:rFonts w:ascii="宋体" w:hAnsi="宋体"/>
          <w:sz w:val="21"/>
          <w:szCs w:val="21"/>
        </w:rPr>
      </w:pPr>
      <w:r>
        <w:rPr>
          <w:rFonts w:hint="eastAsia" w:ascii="宋体" w:hAnsi="宋体"/>
          <w:sz w:val="21"/>
          <w:szCs w:val="21"/>
        </w:rPr>
        <w:t>4.开户银行名称及账号：填写纳税人本人开户银行的全称及账号。</w:t>
      </w:r>
    </w:p>
    <w:p>
      <w:pPr>
        <w:ind w:firstLine="421" w:firstLineChars="200"/>
        <w:rPr>
          <w:rFonts w:ascii="宋体" w:hAnsi="宋体"/>
          <w:b/>
          <w:sz w:val="21"/>
          <w:szCs w:val="21"/>
        </w:rPr>
      </w:pPr>
      <w:r>
        <w:rPr>
          <w:rFonts w:hint="eastAsia" w:ascii="宋体" w:hAnsi="宋体"/>
          <w:b/>
          <w:sz w:val="21"/>
          <w:szCs w:val="21"/>
        </w:rPr>
        <w:t>注：该银行账户，用于办理纳税人多扣缴个人所得税款的退还。即，纳税人多扣缴的税款，经税务机关审核确认后，将直接退还至该银行账户中。因此，纳税人要特别注意本行填写的准确性。</w:t>
      </w:r>
    </w:p>
    <w:p>
      <w:pPr>
        <w:ind w:firstLine="420" w:firstLineChars="200"/>
        <w:rPr>
          <w:rFonts w:ascii="宋体" w:hAnsi="宋体"/>
          <w:sz w:val="21"/>
          <w:szCs w:val="21"/>
        </w:rPr>
      </w:pPr>
      <w:r>
        <w:rPr>
          <w:rFonts w:hint="eastAsia" w:ascii="宋体" w:hAnsi="宋体"/>
          <w:sz w:val="21"/>
          <w:szCs w:val="21"/>
        </w:rPr>
        <w:t>5. 中国境内有效联系地址及邮编：填写纳税人住址或有效联系地址及邮编。</w:t>
      </w:r>
    </w:p>
    <w:p>
      <w:pPr>
        <w:ind w:firstLine="420" w:firstLineChars="200"/>
        <w:rPr>
          <w:rFonts w:ascii="宋体" w:hAnsi="宋体"/>
          <w:sz w:val="21"/>
          <w:szCs w:val="21"/>
        </w:rPr>
      </w:pPr>
      <w:r>
        <w:rPr>
          <w:rFonts w:hint="eastAsia" w:ascii="宋体" w:hAnsi="宋体"/>
          <w:sz w:val="21"/>
          <w:szCs w:val="21"/>
        </w:rPr>
        <w:t>6.开户证券公司（营业部）：填写纳税人开立证券交易账户的证券公司（营业部）的相关信息。</w:t>
      </w:r>
    </w:p>
    <w:p>
      <w:pPr>
        <w:ind w:firstLine="420" w:firstLineChars="200"/>
        <w:rPr>
          <w:rFonts w:ascii="宋体" w:hAnsi="宋体"/>
          <w:sz w:val="21"/>
          <w:szCs w:val="21"/>
        </w:rPr>
      </w:pPr>
      <w:r>
        <w:rPr>
          <w:rFonts w:hint="eastAsia" w:ascii="宋体" w:hAnsi="宋体"/>
          <w:sz w:val="21"/>
          <w:szCs w:val="21"/>
        </w:rPr>
        <w:t>（1）名称：填写纳税人开立证券账户的证券公司（营业部）的全称。</w:t>
      </w:r>
    </w:p>
    <w:p>
      <w:pPr>
        <w:ind w:firstLine="420" w:firstLineChars="200"/>
        <w:rPr>
          <w:rFonts w:ascii="宋体" w:hAnsi="宋体"/>
          <w:sz w:val="21"/>
          <w:szCs w:val="21"/>
        </w:rPr>
      </w:pPr>
      <w:r>
        <w:rPr>
          <w:rFonts w:hint="eastAsia" w:ascii="宋体" w:hAnsi="宋体"/>
          <w:sz w:val="21"/>
          <w:szCs w:val="21"/>
        </w:rPr>
        <w:t>（2）扣缴义务人编码：填写纳税人开立证券账户的证券公司（营业部）的税务登记证号码。</w:t>
      </w:r>
    </w:p>
    <w:p>
      <w:pPr>
        <w:ind w:firstLine="420" w:firstLineChars="200"/>
        <w:rPr>
          <w:rFonts w:ascii="宋体" w:hAnsi="宋体"/>
          <w:sz w:val="21"/>
          <w:szCs w:val="21"/>
        </w:rPr>
      </w:pPr>
      <w:r>
        <w:rPr>
          <w:rFonts w:hint="eastAsia" w:ascii="宋体" w:hAnsi="宋体"/>
          <w:sz w:val="21"/>
          <w:szCs w:val="21"/>
        </w:rPr>
        <w:t>（3）地址及邮编：填写纳税人开立证券账户的证券公司（营业部）的地址及邮编。</w:t>
      </w:r>
    </w:p>
    <w:p>
      <w:pPr>
        <w:ind w:firstLine="420" w:firstLineChars="200"/>
        <w:rPr>
          <w:rFonts w:ascii="宋体" w:hAnsi="宋体"/>
          <w:sz w:val="21"/>
          <w:szCs w:val="21"/>
        </w:rPr>
      </w:pPr>
      <w:r>
        <w:rPr>
          <w:rFonts w:hint="eastAsia" w:ascii="宋体" w:hAnsi="宋体"/>
          <w:sz w:val="21"/>
          <w:szCs w:val="21"/>
        </w:rPr>
        <w:t>（四）限售股转让收入及纳税情况的填写:</w:t>
      </w:r>
    </w:p>
    <w:p>
      <w:pPr>
        <w:ind w:firstLine="420" w:firstLineChars="200"/>
        <w:rPr>
          <w:rFonts w:ascii="宋体" w:hAnsi="宋体"/>
          <w:sz w:val="21"/>
          <w:szCs w:val="21"/>
        </w:rPr>
      </w:pPr>
      <w:r>
        <w:rPr>
          <w:rFonts w:hint="eastAsia" w:ascii="宋体" w:hAnsi="宋体"/>
          <w:sz w:val="21"/>
          <w:szCs w:val="21"/>
        </w:rPr>
        <w:t>1.股票代码：填写限售股的股票代码。</w:t>
      </w:r>
    </w:p>
    <w:p>
      <w:pPr>
        <w:ind w:firstLine="420" w:firstLineChars="200"/>
        <w:rPr>
          <w:rFonts w:ascii="宋体" w:hAnsi="宋体"/>
          <w:sz w:val="21"/>
          <w:szCs w:val="21"/>
        </w:rPr>
      </w:pPr>
      <w:r>
        <w:rPr>
          <w:rFonts w:hint="eastAsia" w:ascii="宋体" w:hAnsi="宋体"/>
          <w:sz w:val="21"/>
          <w:szCs w:val="21"/>
        </w:rPr>
        <w:t>2.股票名称：填写限售股股票的证券名称。</w:t>
      </w:r>
    </w:p>
    <w:p>
      <w:pPr>
        <w:ind w:firstLine="420" w:firstLineChars="200"/>
        <w:rPr>
          <w:rFonts w:ascii="宋体" w:hAnsi="宋体"/>
          <w:sz w:val="21"/>
          <w:szCs w:val="21"/>
        </w:rPr>
      </w:pPr>
      <w:r>
        <w:rPr>
          <w:rFonts w:hint="eastAsia" w:ascii="宋体" w:hAnsi="宋体"/>
          <w:sz w:val="21"/>
          <w:szCs w:val="21"/>
        </w:rPr>
        <w:t>3.转让股数(股)：填写本月转让限售股的股数。</w:t>
      </w:r>
    </w:p>
    <w:p>
      <w:pPr>
        <w:ind w:firstLine="420" w:firstLineChars="200"/>
        <w:rPr>
          <w:rFonts w:ascii="宋体" w:hAnsi="宋体"/>
          <w:sz w:val="21"/>
          <w:szCs w:val="21"/>
        </w:rPr>
      </w:pPr>
      <w:r>
        <w:rPr>
          <w:rFonts w:hint="eastAsia" w:ascii="宋体" w:hAnsi="宋体"/>
          <w:sz w:val="21"/>
          <w:szCs w:val="21"/>
        </w:rPr>
        <w:t>4.实际转让收入额：填写转让限售股取得的实际收入额。以证券机构提供的加盖印章的当月限售股交易记录汇总数为准。</w:t>
      </w:r>
    </w:p>
    <w:p>
      <w:pPr>
        <w:ind w:firstLine="420" w:firstLineChars="200"/>
        <w:rPr>
          <w:rFonts w:ascii="宋体" w:hAnsi="宋体"/>
          <w:sz w:val="21"/>
          <w:szCs w:val="21"/>
        </w:rPr>
      </w:pPr>
      <w:r>
        <w:rPr>
          <w:rFonts w:hint="eastAsia" w:ascii="宋体" w:hAnsi="宋体"/>
          <w:sz w:val="21"/>
          <w:szCs w:val="21"/>
        </w:rPr>
        <w:t>5.限售股原值和合理税费：</w:t>
      </w:r>
    </w:p>
    <w:p>
      <w:pPr>
        <w:ind w:firstLine="420" w:firstLineChars="200"/>
        <w:rPr>
          <w:rFonts w:ascii="宋体" w:hAnsi="宋体"/>
          <w:sz w:val="21"/>
          <w:szCs w:val="21"/>
        </w:rPr>
      </w:pPr>
      <w:r>
        <w:rPr>
          <w:rFonts w:hint="eastAsia" w:ascii="宋体" w:hAnsi="宋体"/>
          <w:sz w:val="21"/>
          <w:szCs w:val="21"/>
        </w:rPr>
        <w:t>（1）限售股原值和合理税费小计，填写纳税人转让限售股的股票原值和合理税费的合计。</w:t>
      </w:r>
    </w:p>
    <w:p>
      <w:pPr>
        <w:ind w:firstLine="420" w:firstLineChars="200"/>
        <w:rPr>
          <w:rFonts w:ascii="宋体" w:hAnsi="宋体"/>
          <w:sz w:val="21"/>
          <w:szCs w:val="21"/>
        </w:rPr>
      </w:pPr>
      <w:r>
        <w:rPr>
          <w:rFonts w:hint="eastAsia" w:ascii="宋体" w:hAnsi="宋体"/>
          <w:sz w:val="21"/>
          <w:szCs w:val="21"/>
        </w:rPr>
        <w:t>纳税人未能提供完整、真实的限售股原值凭证，不能正确计算限售股原值的，一律按限售股实际转让收入的15%计算限售股原值和合理税费后，填入该栏。</w:t>
      </w:r>
    </w:p>
    <w:p>
      <w:pPr>
        <w:ind w:firstLine="420" w:firstLineChars="200"/>
        <w:rPr>
          <w:rFonts w:ascii="宋体" w:hAnsi="宋体"/>
          <w:sz w:val="21"/>
          <w:szCs w:val="21"/>
        </w:rPr>
      </w:pPr>
      <w:r>
        <w:rPr>
          <w:rFonts w:hint="eastAsia" w:ascii="宋体" w:hAnsi="宋体"/>
          <w:sz w:val="21"/>
          <w:szCs w:val="21"/>
        </w:rPr>
        <w:t>（2）限售股原值，填写取得限售股股票实际付出的成本，并附相关完整、真实的原值凭证。</w:t>
      </w:r>
    </w:p>
    <w:p>
      <w:pPr>
        <w:ind w:firstLine="420" w:firstLineChars="200"/>
        <w:rPr>
          <w:rFonts w:ascii="宋体" w:hAnsi="宋体"/>
          <w:sz w:val="21"/>
          <w:szCs w:val="21"/>
        </w:rPr>
      </w:pPr>
      <w:r>
        <w:rPr>
          <w:rFonts w:hint="eastAsia" w:ascii="宋体" w:hAnsi="宋体"/>
          <w:sz w:val="21"/>
          <w:szCs w:val="21"/>
        </w:rPr>
        <w:t>（3）合理税费，填写转让限售股过程中发生的印花税、佣金、过户费等与交易相关的税费。</w:t>
      </w:r>
    </w:p>
    <w:p>
      <w:pPr>
        <w:ind w:firstLine="420" w:firstLineChars="200"/>
        <w:rPr>
          <w:rFonts w:ascii="宋体" w:hAnsi="宋体"/>
          <w:sz w:val="21"/>
          <w:szCs w:val="21"/>
        </w:rPr>
      </w:pPr>
      <w:r>
        <w:rPr>
          <w:rFonts w:hint="eastAsia" w:ascii="宋体" w:hAnsi="宋体"/>
          <w:sz w:val="21"/>
          <w:szCs w:val="21"/>
        </w:rPr>
        <w:t>7.应纳税所得额：填写转让限售股实际转让收入额减除限售股原值和合理税费后的余额。</w:t>
      </w:r>
    </w:p>
    <w:p>
      <w:pPr>
        <w:ind w:firstLine="420" w:firstLineChars="200"/>
        <w:rPr>
          <w:rFonts w:ascii="宋体" w:hAnsi="宋体"/>
          <w:sz w:val="21"/>
          <w:szCs w:val="21"/>
        </w:rPr>
      </w:pPr>
      <w:r>
        <w:rPr>
          <w:rFonts w:hint="eastAsia" w:ascii="宋体" w:hAnsi="宋体"/>
          <w:sz w:val="21"/>
          <w:szCs w:val="21"/>
        </w:rPr>
        <w:t>8.已扣缴税额：填写证券机构已预扣预缴的税款。</w:t>
      </w:r>
    </w:p>
    <w:p>
      <w:pPr>
        <w:ind w:firstLine="420" w:firstLineChars="200"/>
        <w:rPr>
          <w:rFonts w:ascii="宋体" w:hAnsi="宋体"/>
          <w:sz w:val="21"/>
          <w:szCs w:val="21"/>
        </w:rPr>
      </w:pPr>
      <w:r>
        <w:rPr>
          <w:rFonts w:hint="eastAsia" w:ascii="宋体" w:hAnsi="宋体"/>
          <w:sz w:val="21"/>
          <w:szCs w:val="21"/>
        </w:rPr>
        <w:t>9.应退(补)税额：应退(补)税额=应纳税额-已扣缴税额。负数为应退税额；正数为应补税额。</w:t>
      </w:r>
    </w:p>
    <w:p>
      <w:pPr>
        <w:ind w:firstLine="420" w:firstLineChars="200"/>
        <w:rPr>
          <w:rFonts w:ascii="宋体" w:hAnsi="宋体"/>
          <w:sz w:val="21"/>
          <w:szCs w:val="21"/>
        </w:rPr>
      </w:pPr>
      <w:r>
        <w:rPr>
          <w:rFonts w:hint="eastAsia" w:ascii="宋体" w:hAnsi="宋体"/>
          <w:sz w:val="21"/>
          <w:szCs w:val="21"/>
        </w:rPr>
        <w:t>七、声明：填写纳税人本人的姓名。如纳税人不在时，可填写代理申报人的姓名。</w:t>
      </w:r>
    </w:p>
    <w:p>
      <w:pPr>
        <w:ind w:firstLine="420" w:firstLineChars="200"/>
        <w:rPr>
          <w:rFonts w:ascii="宋体" w:hAnsi="宋体"/>
          <w:sz w:val="21"/>
          <w:szCs w:val="21"/>
        </w:rPr>
      </w:pPr>
      <w:r>
        <w:rPr>
          <w:rFonts w:hint="eastAsia" w:ascii="宋体" w:hAnsi="宋体"/>
          <w:sz w:val="21"/>
          <w:szCs w:val="21"/>
        </w:rPr>
        <w:t>八、代理人（中介机构）签字或盖章：填盖纳税人委托代理申报的中介机构的印章，或者代理人个人的签名或印章。</w:t>
      </w:r>
    </w:p>
    <w:p>
      <w:pPr>
        <w:ind w:firstLine="420" w:firstLineChars="200"/>
        <w:rPr>
          <w:rFonts w:ascii="宋体" w:hAnsi="宋体"/>
          <w:sz w:val="21"/>
          <w:szCs w:val="21"/>
        </w:rPr>
      </w:pPr>
      <w:r>
        <w:rPr>
          <w:rFonts w:hint="eastAsia" w:ascii="宋体" w:hAnsi="宋体"/>
          <w:sz w:val="21"/>
          <w:szCs w:val="21"/>
        </w:rPr>
        <w:t>九、经办人：填写代理申报人的姓名。</w:t>
      </w:r>
    </w:p>
    <w:p>
      <w:pPr>
        <w:ind w:firstLine="420" w:firstLineChars="200"/>
        <w:rPr>
          <w:sz w:val="21"/>
          <w:szCs w:val="21"/>
        </w:rPr>
      </w:pPr>
      <w:r>
        <w:rPr>
          <w:rFonts w:hint="eastAsia" w:ascii="宋体" w:hAnsi="宋体"/>
          <w:sz w:val="21"/>
          <w:szCs w:val="21"/>
        </w:rPr>
        <w:t>十、本表为A4竖式。一式两份，纳税人留存一份，税务机关留存一份。</w:t>
      </w:r>
    </w:p>
    <w:p>
      <w:pPr>
        <w:rPr>
          <w:sz w:val="21"/>
          <w:szCs w:val="21"/>
        </w:rPr>
      </w:pPr>
    </w:p>
    <w:p>
      <w:pPr>
        <w:jc w:val="center"/>
        <w:rPr>
          <w:rFonts w:hint="eastAsia" w:ascii="宋体" w:hAnsi="宋体" w:eastAsia="宋体" w:cs="宋体"/>
          <w:color w:val="000000"/>
          <w:kern w:val="0"/>
          <w:sz w:val="24"/>
          <w:szCs w:val="24"/>
        </w:rPr>
      </w:pPr>
    </w:p>
    <w:p>
      <w:pPr>
        <w:jc w:val="both"/>
        <w:rPr>
          <w:rFonts w:hint="eastAsia" w:ascii="宋体" w:hAnsi="宋体" w:eastAsia="宋体" w:cs="宋体"/>
          <w:color w:val="000000"/>
          <w:kern w:val="0"/>
          <w:sz w:val="24"/>
          <w:szCs w:val="24"/>
        </w:rPr>
      </w:pPr>
    </w:p>
    <w:p>
      <w:pPr>
        <w:jc w:val="center"/>
        <w:rPr>
          <w:rFonts w:hint="eastAsia" w:ascii="宋体" w:hAnsi="宋体" w:eastAsia="宋体" w:cs="宋体"/>
          <w:color w:val="000000"/>
          <w:kern w:val="0"/>
          <w:sz w:val="24"/>
          <w:szCs w:val="24"/>
        </w:rPr>
      </w:pPr>
    </w:p>
    <w:p>
      <w:pPr>
        <w:jc w:val="center"/>
        <w:rPr>
          <w:rFonts w:hint="eastAsia" w:ascii="宋体" w:hAnsi="宋体" w:eastAsia="宋体" w:cs="宋体"/>
          <w:color w:val="000000"/>
          <w:kern w:val="0"/>
          <w:sz w:val="24"/>
          <w:szCs w:val="24"/>
        </w:rPr>
      </w:pPr>
    </w:p>
    <w:p>
      <w:pPr>
        <w:jc w:val="center"/>
        <w:rPr>
          <w:rFonts w:ascii="ˎ̥" w:hAnsi="ˎ̥"/>
          <w:b/>
          <w:bCs/>
          <w:color w:val="454545"/>
          <w:sz w:val="44"/>
          <w:szCs w:val="44"/>
        </w:rPr>
      </w:pPr>
      <w:r>
        <w:rPr>
          <w:rFonts w:ascii="ˎ̥" w:hAnsi="ˎ̥"/>
          <w:b/>
          <w:bCs/>
          <w:color w:val="454545"/>
          <w:sz w:val="44"/>
          <w:szCs w:val="44"/>
        </w:rPr>
        <w:t>国家税务总局</w:t>
      </w:r>
    </w:p>
    <w:p>
      <w:pPr>
        <w:jc w:val="center"/>
        <w:rPr>
          <w:rFonts w:ascii="ˎ̥" w:hAnsi="ˎ̥"/>
          <w:b/>
          <w:bCs/>
          <w:color w:val="454545"/>
          <w:sz w:val="44"/>
          <w:szCs w:val="44"/>
        </w:rPr>
      </w:pPr>
      <w:r>
        <w:rPr>
          <w:rFonts w:ascii="ˎ̥" w:hAnsi="ˎ̥"/>
          <w:b/>
          <w:bCs/>
          <w:color w:val="454545"/>
          <w:sz w:val="44"/>
          <w:szCs w:val="44"/>
        </w:rPr>
        <w:t>关于限售股转让所得个人所得税征缴</w:t>
      </w:r>
    </w:p>
    <w:p>
      <w:pPr>
        <w:jc w:val="center"/>
        <w:rPr>
          <w:rFonts w:hint="eastAsia" w:ascii="ˎ̥" w:hAnsi="ˎ̥"/>
          <w:b/>
          <w:bCs/>
          <w:color w:val="454545"/>
          <w:sz w:val="44"/>
          <w:szCs w:val="44"/>
        </w:rPr>
      </w:pPr>
      <w:r>
        <w:rPr>
          <w:rFonts w:ascii="ˎ̥" w:hAnsi="ˎ̥"/>
          <w:b/>
          <w:bCs/>
          <w:color w:val="454545"/>
          <w:sz w:val="44"/>
          <w:szCs w:val="44"/>
        </w:rPr>
        <w:t>有关问题的通知</w:t>
      </w:r>
    </w:p>
    <w:p>
      <w:pPr>
        <w:jc w:val="center"/>
        <w:rPr>
          <w:rFonts w:hint="eastAsia" w:ascii="ˎ̥" w:hAnsi="ˎ̥"/>
          <w:b/>
          <w:bCs/>
          <w:color w:val="000000" w:themeColor="text1"/>
          <w:sz w:val="24"/>
          <w:szCs w:val="24"/>
          <w:lang w:val="en-US" w:eastAsia="zh-CN"/>
          <w14:textFill>
            <w14:solidFill>
              <w14:schemeClr w14:val="tx1"/>
            </w14:solidFill>
          </w14:textFill>
        </w:rPr>
      </w:pPr>
      <w:r>
        <w:rPr>
          <w:rFonts w:ascii="ˎ̥" w:hAnsi="ˎ̥"/>
          <w:b/>
          <w:bCs/>
          <w:color w:val="DF0000"/>
          <w:sz w:val="24"/>
          <w:szCs w:val="24"/>
        </w:rPr>
        <w:t>国税函〔2010〕23号</w:t>
      </w:r>
      <w:r>
        <w:rPr>
          <w:rFonts w:hint="eastAsia" w:ascii="ˎ̥" w:hAnsi="ˎ̥"/>
          <w:b/>
          <w:bCs/>
          <w:color w:val="DF0000"/>
          <w:sz w:val="24"/>
          <w:szCs w:val="24"/>
          <w:lang w:val="en-US" w:eastAsia="zh-CN"/>
        </w:rPr>
        <w:t xml:space="preserve">   </w:t>
      </w:r>
      <w:r>
        <w:rPr>
          <w:rFonts w:hint="eastAsia" w:ascii="ˎ̥" w:hAnsi="ˎ̥"/>
          <w:b/>
          <w:bCs/>
          <w:color w:val="000000" w:themeColor="text1"/>
          <w:sz w:val="24"/>
          <w:szCs w:val="24"/>
          <w:lang w:val="en-US" w:eastAsia="zh-CN"/>
          <w14:textFill>
            <w14:solidFill>
              <w14:schemeClr w14:val="tx1"/>
            </w14:solidFill>
          </w14:textFill>
        </w:rPr>
        <w:t xml:space="preserve">2010年1月18日  </w:t>
      </w:r>
    </w:p>
    <w:p>
      <w:pPr>
        <w:jc w:val="center"/>
        <w:rPr>
          <w:rFonts w:hint="eastAsia" w:ascii="ˎ̥" w:hAnsi="ˎ̥"/>
          <w:b/>
          <w:bCs/>
          <w:color w:val="DF0000"/>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40" w:lineRule="exact"/>
        <w:ind w:firstLine="482"/>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根据《财政部　国家税务总局　证监会关于个人转让上市公司限售股所得征收个人所得税有关问题的通知》（财税[2009]167号）规定，限售股转让所得个人所得税采取证券机构预扣预缴、纳税人自行申报清算和证券机构直接扣缴相结合的方式征收。为做好限售股转让所得个人所得税征缴工作，现就有关问题通知如下：</w:t>
      </w:r>
    </w:p>
    <w:p>
      <w:pPr>
        <w:keepNext w:val="0"/>
        <w:keepLines w:val="0"/>
        <w:pageBreakBefore w:val="0"/>
        <w:widowControl/>
        <w:kinsoku/>
        <w:wordWrap/>
        <w:overflowPunct/>
        <w:topLinePunct w:val="0"/>
        <w:autoSpaceDE/>
        <w:autoSpaceDN/>
        <w:bidi w:val="0"/>
        <w:adjustRightInd/>
        <w:snapToGrid/>
        <w:spacing w:line="520" w:lineRule="exact"/>
        <w:ind w:firstLine="482"/>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黑体" w:hAnsi="黑体" w:eastAsia="黑体" w:cs="黑体"/>
          <w:b/>
          <w:bCs/>
          <w:color w:val="000000"/>
          <w:kern w:val="0"/>
          <w:sz w:val="24"/>
          <w:szCs w:val="24"/>
        </w:rPr>
        <w:t>一、关于证券机构预扣预缴个人所得税的征缴问题</w:t>
      </w:r>
      <w:r>
        <w:rPr>
          <w:rFonts w:hint="eastAsia" w:ascii="黑体" w:hAnsi="黑体" w:eastAsia="黑体" w:cs="黑体"/>
          <w:b/>
          <w:bCs/>
          <w:color w:val="000000"/>
          <w:kern w:val="0"/>
          <w:sz w:val="24"/>
          <w:szCs w:val="24"/>
        </w:rPr>
        <w:br w:type="textWrapping"/>
      </w:r>
      <w:r>
        <w:rPr>
          <w:rFonts w:hint="eastAsia" w:ascii="宋体" w:hAnsi="宋体" w:eastAsia="宋体" w:cs="宋体"/>
          <w:color w:val="000000"/>
          <w:kern w:val="0"/>
          <w:sz w:val="24"/>
          <w:szCs w:val="24"/>
        </w:rPr>
        <w:t>　　（一）证券机构技术和制度准备完成前形成的限售股，其转让所得应缴纳的个人所得税采取证券机构预扣预缴、纳税人自行申报清算方式征收。各地税务机关可根据当地税务代保管资金账户的开立与否、个人退税的简便与否等实际情况综合考虑，在下列方式中确定一种征缴方式：</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1.纳税保证金方式。</w:t>
      </w:r>
      <w:r>
        <w:rPr>
          <w:rFonts w:hint="eastAsia" w:ascii="宋体" w:hAnsi="宋体" w:eastAsia="宋体" w:cs="宋体"/>
          <w:color w:val="000000"/>
          <w:kern w:val="0"/>
          <w:sz w:val="24"/>
          <w:szCs w:val="24"/>
        </w:rPr>
        <w:t>证券机构将已扣的个人所得税款，于次月7日内以纳税保证金形式向主管税务机关缴纳，并报送《限售股转让所得扣缴个人所得税报告表》及税务机关要求报送的其他资料。主管税务机关收取纳税保证金时，应向证券机构开具有关凭证（凭证种类由各地自定），作为证券机构代缴个人所得税的凭证，凭证“类别”或“品目”栏写明“代扣个人所得税”。同时，税务机关根据《限售股转让所得扣缴个人所得税报告表》分纳税人开具《税务代保管资金专用收据》，作为纳税人预缴个人所得税的凭证，凭证“类别”栏写明“预缴个人所得税”。纳税保证金缴入税务机关在当地商业银行开设的“税务代保管资金”账户存储。</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宋体" w:hAnsi="宋体" w:eastAsia="宋体" w:cs="宋体"/>
          <w:b/>
          <w:bCs/>
          <w:color w:val="000000"/>
          <w:kern w:val="0"/>
          <w:sz w:val="24"/>
          <w:szCs w:val="24"/>
        </w:rPr>
        <w:t>2.预缴税款方式。</w:t>
      </w:r>
      <w:r>
        <w:rPr>
          <w:rFonts w:hint="eastAsia" w:ascii="宋体" w:hAnsi="宋体" w:eastAsia="宋体" w:cs="宋体"/>
          <w:color w:val="000000"/>
          <w:kern w:val="0"/>
          <w:sz w:val="24"/>
          <w:szCs w:val="24"/>
        </w:rPr>
        <w:t>证券机构将已扣的个人所得税款，于次月7日内直接缴入国库，并向主管税务机关报送《限售股转让所得扣缴个人所得税报告表》及税务机关要求报送的其他资料。主管税务机关向证券机构开具《税收通用缴款书》或以横向联网电子缴税方式将证券机构预扣预缴的个人所得税税款缴入国库。同时，主管税务机关应根据《限售股转让所得扣缴个人所得税报告表》分纳税人开具《税收转账专用完税证》，作为纳税人预缴个人所得税的完税凭证。</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（二）</w:t>
      </w:r>
      <w:r>
        <w:rPr>
          <w:rFonts w:hint="eastAsia" w:ascii="方正大黑简体" w:hAnsi="方正大黑简体" w:eastAsia="方正大黑简体" w:cs="方正大黑简体"/>
          <w:color w:val="000000"/>
          <w:kern w:val="0"/>
          <w:sz w:val="28"/>
          <w:szCs w:val="28"/>
        </w:rPr>
        <w:t>证券机构技术和制度准备完成后新上市公司的限售股，纳税人在转让时应缴纳的个人所得税，采取</w:t>
      </w:r>
      <w:r>
        <w:rPr>
          <w:rFonts w:hint="eastAsia" w:ascii="方正大黑简体" w:hAnsi="方正大黑简体" w:eastAsia="方正大黑简体" w:cs="方正大黑简体"/>
          <w:color w:val="FF0000"/>
          <w:kern w:val="0"/>
          <w:sz w:val="28"/>
          <w:szCs w:val="28"/>
        </w:rPr>
        <w:t>证券机构直接代扣代缴</w:t>
      </w:r>
      <w:r>
        <w:rPr>
          <w:rFonts w:hint="eastAsia" w:ascii="方正大黑简体" w:hAnsi="方正大黑简体" w:eastAsia="方正大黑简体" w:cs="方正大黑简体"/>
          <w:color w:val="000000"/>
          <w:kern w:val="0"/>
          <w:sz w:val="28"/>
          <w:szCs w:val="28"/>
        </w:rPr>
        <w:t>的方式征收。</w:t>
      </w:r>
      <w:r>
        <w:rPr>
          <w:rFonts w:hint="eastAsia" w:ascii="方正大黑简体" w:hAnsi="方正大黑简体" w:eastAsia="方正大黑简体" w:cs="方正大黑简体"/>
          <w:color w:val="000000"/>
          <w:kern w:val="0"/>
          <w:sz w:val="28"/>
          <w:szCs w:val="28"/>
        </w:rPr>
        <w:br w:type="textWrapping"/>
      </w:r>
      <w:r>
        <w:rPr>
          <w:rFonts w:hint="eastAsia" w:ascii="宋体" w:hAnsi="宋体" w:eastAsia="宋体" w:cs="宋体"/>
          <w:color w:val="000000"/>
          <w:kern w:val="0"/>
          <w:sz w:val="24"/>
          <w:szCs w:val="24"/>
        </w:rPr>
        <w:t>　　证券机构每月所扣个人所得税款，于次月7日内缴入国库，并向当地主管税务机关报送《限售股转让所得扣缴个人所得税报告表》及税务机关要求报送的其他资料。主管税务机关按照代扣代缴税款有关规定办理税款入库，并分纳税人开具《税收转账专用完税证》，作为纳税人的完税凭证。</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《税务代保管资金专用收据》、《税收转账专用完税证》可由代扣代缴税款的证券机构或由主管税务机关交纳税人。各地税务机关应通过适当途径将缴款凭证取得方式预先告知纳税人。</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r>
        <w:rPr>
          <w:rFonts w:hint="eastAsia" w:ascii="黑体" w:hAnsi="黑体" w:eastAsia="黑体" w:cs="黑体"/>
          <w:color w:val="000000"/>
          <w:kern w:val="0"/>
          <w:sz w:val="24"/>
          <w:szCs w:val="24"/>
        </w:rPr>
        <w:t>二、关于采取证券机构预扣预缴、纳税人自行申报清算方式下的税款结算和退税管理</w:t>
      </w:r>
      <w:r>
        <w:rPr>
          <w:rFonts w:hint="eastAsia" w:ascii="黑体" w:hAnsi="黑体" w:eastAsia="黑体" w:cs="黑体"/>
          <w:color w:val="000000"/>
          <w:kern w:val="0"/>
          <w:sz w:val="24"/>
          <w:szCs w:val="24"/>
        </w:rPr>
        <w:br w:type="textWrapping"/>
      </w:r>
      <w:r>
        <w:rPr>
          <w:rFonts w:hint="eastAsia" w:ascii="宋体" w:hAnsi="宋体" w:eastAsia="宋体" w:cs="宋体"/>
          <w:color w:val="000000"/>
          <w:kern w:val="0"/>
          <w:sz w:val="24"/>
          <w:szCs w:val="24"/>
        </w:rPr>
        <w:t>　　（一）采用纳税保证金方式征缴税款的结算</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证券机构以纳税保证金方式代缴个人所得税的，纳税人办理清算申报后，经主管税务机关审核重新计算的应纳税额低于已缴纳税保证金的，多缴部分税务机关应及时从“税务代保管资金”账户退还纳税人。同时，税务机关应开具《税收通用缴款书》将应纳部分作为个人所得税从“税务代保管资金”账户缴入国库，并将《税收通用缴款书》相应联次交纳税人，同时收回《税务代保管资金专用收据》。经主管税务机关审核重新计算的应纳税额高于已缴纳税保证金的，税务机关就纳税人应补缴税款部分开具相应凭证直接补缴入库；同时税务机关应开具《税收通用缴款书》将已缴纳的纳税保证金从“税务代保管资金”账户全额缴入国库，并将《税收通用缴款书》相应联次交纳税人，同时收回《税务代保管资金专用收据》。纳税人未在规定期限内办理清算事宜的，期限届满后，所缴纳的纳税保证金全部作为个人所得税缴入国库。横向联网电子缴税的地区，税务机关可通过联网系统办理税款缴库。</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纳税保证金的收纳缴库、退还办法，按照《国家税务总局 财政部 中国人民银行关于印发〈税务代保管资金账户管理办法〉的通知》（国税发[2005]181号）、《国家税务总局  财政部  中国人民银行关于税务代保管资金账户管理有关问题的通知》（国税发[2007]12号）有关规定执行。各地税务机关应严格执行税务代保管资金账户管理有关规定，严防发生账户资金的占压、贪污、挪用、盗取等情形。</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（二）采用预缴税款方式征缴税款的结算</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证券机构以预缴税款方式代缴个人所得税的，纳税人办理清算申报后，经主管税务机关审核应补（退）税款的，由主管税务机关按照有关规定办理税款补缴入库或税款退库。</w:t>
      </w:r>
    </w:p>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Theme="majorEastAsia" w:hAnsiTheme="majorEastAsia" w:eastAsiaTheme="majorEastAsia" w:cstheme="majorEastAsia"/>
          <w:color w:val="000000"/>
          <w:kern w:val="0"/>
          <w:sz w:val="24"/>
          <w:szCs w:val="24"/>
        </w:rPr>
      </w:pPr>
      <w:r>
        <w:rPr>
          <w:rFonts w:hint="eastAsia" w:ascii="宋体" w:hAnsi="宋体" w:eastAsia="宋体" w:cs="宋体"/>
          <w:color w:val="000000"/>
          <w:kern w:val="0"/>
          <w:sz w:val="24"/>
          <w:szCs w:val="24"/>
          <w:lang w:val="en-US" w:eastAsia="zh-CN"/>
        </w:rPr>
        <w:t xml:space="preserve">                                    </w:t>
      </w: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大标宋简体">
    <w:panose1 w:val="02010601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方正行楷_GBK">
    <w:panose1 w:val="02000000000000000000"/>
    <w:charset w:val="86"/>
    <w:family w:val="auto"/>
    <w:pitch w:val="default"/>
    <w:sig w:usb0="00000001" w:usb1="08000000" w:usb2="00000000" w:usb3="00000000" w:csb0="00040000" w:csb1="00000000"/>
  </w:font>
  <w:font w:name="方正魏碑_GBK">
    <w:panose1 w:val="02000000000000000000"/>
    <w:charset w:val="86"/>
    <w:family w:val="auto"/>
    <w:pitch w:val="default"/>
    <w:sig w:usb0="00000001" w:usb1="08000000" w:usb2="00000000" w:usb3="00000000" w:csb0="00040000" w:csb1="00000000"/>
  </w:font>
  <w:font w:name="ˎ̥">
    <w:altName w:val="仿宋"/>
    <w:panose1 w:val="00000000000000000000"/>
    <w:charset w:val="00"/>
    <w:family w:val="roman"/>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方正隶书_GBK">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方正魏碑简体">
    <w:panose1 w:val="02010601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A2E941"/>
    <w:multiLevelType w:val="singleLevel"/>
    <w:tmpl w:val="B9A2E941"/>
    <w:lvl w:ilvl="0" w:tentative="0">
      <w:start w:val="3"/>
      <w:numFmt w:val="decimal"/>
      <w:lvlText w:val="%1."/>
      <w:lvlJc w:val="left"/>
      <w:pPr>
        <w:tabs>
          <w:tab w:val="left" w:pos="312"/>
        </w:tabs>
      </w:pPr>
    </w:lvl>
  </w:abstractNum>
  <w:abstractNum w:abstractNumId="1">
    <w:nsid w:val="DFF4CB46"/>
    <w:multiLevelType w:val="singleLevel"/>
    <w:tmpl w:val="DFF4CB46"/>
    <w:lvl w:ilvl="0" w:tentative="0">
      <w:start w:val="1"/>
      <w:numFmt w:val="chineseCounting"/>
      <w:suff w:val="nothing"/>
      <w:lvlText w:val="%1、"/>
      <w:lvlJc w:val="left"/>
      <w:rPr>
        <w:rFonts w:hint="eastAsia"/>
      </w:rPr>
    </w:lvl>
  </w:abstractNum>
  <w:abstractNum w:abstractNumId="2">
    <w:nsid w:val="F7CBE56D"/>
    <w:multiLevelType w:val="singleLevel"/>
    <w:tmpl w:val="F7CBE56D"/>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2C"/>
    <w:rsid w:val="00283A97"/>
    <w:rsid w:val="003701F4"/>
    <w:rsid w:val="00785B01"/>
    <w:rsid w:val="00814A2C"/>
    <w:rsid w:val="00936484"/>
    <w:rsid w:val="00B278A1"/>
    <w:rsid w:val="00BE1E8B"/>
    <w:rsid w:val="00C4022F"/>
    <w:rsid w:val="00DC12F2"/>
    <w:rsid w:val="1FFF3AD8"/>
    <w:rsid w:val="2BFEF579"/>
    <w:rsid w:val="2BFF84C4"/>
    <w:rsid w:val="2F738146"/>
    <w:rsid w:val="2FF1C9BA"/>
    <w:rsid w:val="37FD5C07"/>
    <w:rsid w:val="37FFE31C"/>
    <w:rsid w:val="3D2E33D3"/>
    <w:rsid w:val="3DDB81D2"/>
    <w:rsid w:val="3FEEBD1E"/>
    <w:rsid w:val="3FEFCBA0"/>
    <w:rsid w:val="53B97F63"/>
    <w:rsid w:val="575DDD8D"/>
    <w:rsid w:val="57BF3406"/>
    <w:rsid w:val="59783555"/>
    <w:rsid w:val="5AF7479D"/>
    <w:rsid w:val="5B6E1E93"/>
    <w:rsid w:val="5ECBB84C"/>
    <w:rsid w:val="5F3EA68F"/>
    <w:rsid w:val="5FDCF9D9"/>
    <w:rsid w:val="5FEDD333"/>
    <w:rsid w:val="62DF796D"/>
    <w:rsid w:val="653A7F3E"/>
    <w:rsid w:val="65F7C0A9"/>
    <w:rsid w:val="67DDDDEE"/>
    <w:rsid w:val="67FE881D"/>
    <w:rsid w:val="6A1B9233"/>
    <w:rsid w:val="6DFFDD03"/>
    <w:rsid w:val="6F7D4103"/>
    <w:rsid w:val="73ABFF78"/>
    <w:rsid w:val="747AA7D8"/>
    <w:rsid w:val="76E4DEC8"/>
    <w:rsid w:val="777D3A3B"/>
    <w:rsid w:val="77FAC27C"/>
    <w:rsid w:val="77FC8A56"/>
    <w:rsid w:val="78FDFEE2"/>
    <w:rsid w:val="7AFE3EDF"/>
    <w:rsid w:val="7B5B2B83"/>
    <w:rsid w:val="7B747E56"/>
    <w:rsid w:val="7BDFB7CC"/>
    <w:rsid w:val="7CFD9091"/>
    <w:rsid w:val="7DD6B677"/>
    <w:rsid w:val="7DF73F54"/>
    <w:rsid w:val="7EBBD32D"/>
    <w:rsid w:val="7EFDB1BD"/>
    <w:rsid w:val="7F77B6BB"/>
    <w:rsid w:val="7F77D43E"/>
    <w:rsid w:val="7F85409D"/>
    <w:rsid w:val="7FAF5ED5"/>
    <w:rsid w:val="7FDB1C77"/>
    <w:rsid w:val="7FF568F5"/>
    <w:rsid w:val="7FF5E540"/>
    <w:rsid w:val="7FFA9CF1"/>
    <w:rsid w:val="7FFB6683"/>
    <w:rsid w:val="7FFBB9CC"/>
    <w:rsid w:val="7FFFB4D3"/>
    <w:rsid w:val="8FBB8169"/>
    <w:rsid w:val="9FBED151"/>
    <w:rsid w:val="AFFF444C"/>
    <w:rsid w:val="B7B76823"/>
    <w:rsid w:val="BA7B23C6"/>
    <w:rsid w:val="BBFE303E"/>
    <w:rsid w:val="BDDF9F20"/>
    <w:rsid w:val="BDFE9AFD"/>
    <w:rsid w:val="BFBE5B63"/>
    <w:rsid w:val="BFF725EB"/>
    <w:rsid w:val="CFEB2701"/>
    <w:rsid w:val="D7BD89A6"/>
    <w:rsid w:val="DF3DA613"/>
    <w:rsid w:val="E7AF2C0D"/>
    <w:rsid w:val="E7FF4232"/>
    <w:rsid w:val="EAA53C5F"/>
    <w:rsid w:val="EBCFE942"/>
    <w:rsid w:val="ECCF9477"/>
    <w:rsid w:val="ECE35732"/>
    <w:rsid w:val="EEEB1536"/>
    <w:rsid w:val="EF6A434A"/>
    <w:rsid w:val="F5BF0BBD"/>
    <w:rsid w:val="F5EF1149"/>
    <w:rsid w:val="F5FBC694"/>
    <w:rsid w:val="F7DFF56F"/>
    <w:rsid w:val="F7F98EB7"/>
    <w:rsid w:val="F7FD291D"/>
    <w:rsid w:val="FAA27780"/>
    <w:rsid w:val="FAD714E1"/>
    <w:rsid w:val="FBDBE67C"/>
    <w:rsid w:val="FC378421"/>
    <w:rsid w:val="FD87DEA9"/>
    <w:rsid w:val="FDDB959A"/>
    <w:rsid w:val="FDEF2B00"/>
    <w:rsid w:val="FDFE0AE1"/>
    <w:rsid w:val="FDFFE77F"/>
    <w:rsid w:val="FE6EC50A"/>
    <w:rsid w:val="FEA76F16"/>
    <w:rsid w:val="FEDEF0B9"/>
    <w:rsid w:val="FEFAEAB9"/>
    <w:rsid w:val="FEFB8F6E"/>
    <w:rsid w:val="FF5A9881"/>
    <w:rsid w:val="FF5FDBBA"/>
    <w:rsid w:val="FF6F2E3B"/>
    <w:rsid w:val="FF94524E"/>
    <w:rsid w:val="FFBFBAB1"/>
    <w:rsid w:val="FFE769AA"/>
    <w:rsid w:val="FFF6A8A7"/>
    <w:rsid w:val="FFF6FFBE"/>
    <w:rsid w:val="FFFFE461"/>
    <w:rsid w:val="FFFFF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9"/>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9"/>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Date"/>
    <w:basedOn w:val="1"/>
    <w:next w:val="1"/>
    <w:link w:val="15"/>
    <w:semiHidden/>
    <w:unhideWhenUsed/>
    <w:qFormat/>
    <w:uiPriority w:val="99"/>
    <w:pPr>
      <w:ind w:left="100" w:leftChars="2500"/>
    </w:pPr>
  </w:style>
  <w:style w:type="paragraph" w:styleId="9">
    <w:name w:val="footer"/>
    <w:basedOn w:val="1"/>
    <w:semiHidden/>
    <w:unhideWhenUsed/>
    <w:qFormat/>
    <w:uiPriority w:val="99"/>
    <w:pPr>
      <w:tabs>
        <w:tab w:val="center" w:pos="4153"/>
        <w:tab w:val="right" w:pos="8306"/>
      </w:tabs>
      <w:snapToGrid w:val="0"/>
      <w:jc w:val="left"/>
    </w:pPr>
    <w:rPr>
      <w:sz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4">
    <w:name w:val="Hyperlink"/>
    <w:basedOn w:val="13"/>
    <w:semiHidden/>
    <w:unhideWhenUsed/>
    <w:qFormat/>
    <w:uiPriority w:val="99"/>
    <w:rPr>
      <w:color w:val="222222"/>
      <w:sz w:val="18"/>
      <w:szCs w:val="18"/>
      <w:u w:val="none"/>
    </w:rPr>
  </w:style>
  <w:style w:type="character" w:customStyle="1" w:styleId="15">
    <w:name w:val="日期 Char"/>
    <w:basedOn w:val="13"/>
    <w:link w:val="8"/>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2316</Words>
  <Characters>13202</Characters>
  <Lines>110</Lines>
  <Paragraphs>30</Paragraphs>
  <TotalTime>59</TotalTime>
  <ScaleCrop>false</ScaleCrop>
  <LinksUpToDate>false</LinksUpToDate>
  <CharactersWithSpaces>15488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2019-03-08T16:06:00Z</dcterms:created>
  <dc:creator> </dc:creator>
  <cp:lastModifiedBy>岳建英</cp:lastModifiedBy>
  <cp:lastPrinted>2023-12-02T03:29:00Z</cp:lastPrinted>
  <dcterms:modified xsi:type="dcterms:W3CDTF">2023-12-21T11:13:07Z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